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5A074" w14:textId="5CE0E901" w:rsidR="000047C7" w:rsidRDefault="004027DB" w:rsidP="004027DB">
      <w:pPr>
        <w:jc w:val="center"/>
      </w:pPr>
      <w:bookmarkStart w:id="0" w:name="_Hlk101282967"/>
      <w:r>
        <w:t>Renuncia a la exención de IVA</w:t>
      </w:r>
    </w:p>
    <w:p w14:paraId="3B57A188" w14:textId="2BDCB3E7" w:rsidR="004027DB" w:rsidRDefault="004027DB" w:rsidP="00293777"/>
    <w:p w14:paraId="4CEE620F" w14:textId="52A2F1C3" w:rsidR="004027DB" w:rsidRDefault="004027DB" w:rsidP="00293777">
      <w:r>
        <w:t>Ley 37/2002.</w:t>
      </w:r>
    </w:p>
    <w:p w14:paraId="502196E9" w14:textId="09F47888" w:rsidR="004027DB" w:rsidRDefault="004027DB" w:rsidP="00293777">
      <w:r>
        <w:t>Art</w:t>
      </w:r>
      <w:r w:rsidR="00F73FD7">
        <w:t>í</w:t>
      </w:r>
      <w:r>
        <w:t>culo 20. Exenciones en Operaciones interiores.</w:t>
      </w:r>
    </w:p>
    <w:p w14:paraId="351C95A3" w14:textId="56AC1FC7" w:rsidR="004027DB" w:rsidRDefault="004027DB" w:rsidP="00293777">
      <w:r>
        <w:t>…..</w:t>
      </w:r>
    </w:p>
    <w:p w14:paraId="244BEAA3" w14:textId="40A22CFC" w:rsidR="004027DB" w:rsidRDefault="004027DB" w:rsidP="00293777">
      <w:r>
        <w:t xml:space="preserve">Dos. </w:t>
      </w:r>
      <w:r w:rsidRPr="004027DB">
        <w:t>Las exenciones relativas a los números 20.º y 22.º del apartado anterior podrán ser objeto de renuncia por el sujeto pasivo, en la forma y con los requisitos que se determinen reglamentariamente, cuando el adquirente sea un sujeto pasivo que actúe en el ejercicio de sus actividades empresariales o profesionales y se le atribuya el derecho a efectuar la deducción total o parcial del Impuesto soportado al realizar la adquisición o, cuando no cumpliéndose lo anterior, en función de su destino previsible, los bienes adquiridos vayan a ser utilizados, total o parcialmente, en la realización de operaciones, que originen el derecho a la deducción.</w:t>
      </w:r>
    </w:p>
    <w:p w14:paraId="28A4986A" w14:textId="4D77DE51" w:rsidR="004027DB" w:rsidRDefault="004027DB" w:rsidP="00293777"/>
    <w:p w14:paraId="0A98B207" w14:textId="5DD75E0B" w:rsidR="004027DB" w:rsidRDefault="009975BD" w:rsidP="00293777">
      <w:r>
        <w:t xml:space="preserve">Del precepto se desprende que ambos intervinientes tienen que ser sujetos </w:t>
      </w:r>
      <w:proofErr w:type="gramStart"/>
      <w:r>
        <w:t>pasivos</w:t>
      </w:r>
      <w:proofErr w:type="gramEnd"/>
      <w:r>
        <w:t xml:space="preserve"> aunque actualmente el requisito de deducibilidad se a reducido a parcial (regla de la prorrata) por parte del destinatario</w:t>
      </w:r>
      <w:r w:rsidR="004E6D4D">
        <w:t xml:space="preserve"> (no obstante, debe tener Alta en actividad económica)</w:t>
      </w:r>
      <w:r>
        <w:t>.</w:t>
      </w:r>
    </w:p>
    <w:p w14:paraId="1BA15B3F" w14:textId="43A4E417" w:rsidR="000611A2" w:rsidRDefault="000611A2" w:rsidP="00293777">
      <w:r>
        <w:t xml:space="preserve">Respecto a la comunicación de ser sujeto pasivo del </w:t>
      </w:r>
      <w:r w:rsidR="00F73FD7">
        <w:t>IVA</w:t>
      </w:r>
      <w:r>
        <w:t xml:space="preserve"> por parte del adquirente como de la declaración justificativa serán cumplida</w:t>
      </w:r>
      <w:r w:rsidR="00F73FD7">
        <w:t>s</w:t>
      </w:r>
      <w:r>
        <w:t xml:space="preserve"> con la inclusión de una cláusula de la renuncia a la exención en la escritura de compraventa del inmueble.</w:t>
      </w:r>
    </w:p>
    <w:p w14:paraId="10628157" w14:textId="240138AF" w:rsidR="00B82737" w:rsidRDefault="00B82737" w:rsidP="00293777"/>
    <w:p w14:paraId="5DE868F0" w14:textId="30032BA4" w:rsidR="00B82737" w:rsidRDefault="00B82737" w:rsidP="00293777">
      <w:r w:rsidRPr="002C777F">
        <w:rPr>
          <w:b/>
          <w:bCs/>
        </w:rPr>
        <w:t>Importante:</w:t>
      </w:r>
      <w:r>
        <w:t xml:space="preserve"> Es un bien inscribible en el registro por lo que la operación estará sujeta a AJD tanto en la parte Fija (0.30 por pliego y 0,15 por </w:t>
      </w:r>
      <w:r w:rsidR="002C777F">
        <w:t>f</w:t>
      </w:r>
      <w:r>
        <w:t>olio</w:t>
      </w:r>
      <w:r w:rsidR="002C777F">
        <w:t>) como la</w:t>
      </w:r>
      <w:r w:rsidR="00F73FD7">
        <w:t xml:space="preserve"> parte</w:t>
      </w:r>
      <w:r w:rsidR="002C777F">
        <w:t xml:space="preserve"> variable</w:t>
      </w:r>
      <w:r w:rsidR="00F73FD7">
        <w:t xml:space="preserve">, que </w:t>
      </w:r>
      <w:r w:rsidR="002C777F">
        <w:t xml:space="preserve">según el valor del inmueble </w:t>
      </w:r>
      <w:r w:rsidR="00F73FD7">
        <w:t>se le aplica e</w:t>
      </w:r>
      <w:r w:rsidR="002C777F">
        <w:t xml:space="preserve">l 1,2%, (tipo general también se aplica a las operaciones sujetas a </w:t>
      </w:r>
      <w:r w:rsidR="00F73FD7">
        <w:t>IVA</w:t>
      </w:r>
      <w:r w:rsidR="002C777F">
        <w:t>).</w:t>
      </w:r>
    </w:p>
    <w:bookmarkEnd w:id="0"/>
    <w:p w14:paraId="4D8889FA" w14:textId="77777777" w:rsidR="002C777F" w:rsidRDefault="002C777F" w:rsidP="00293777"/>
    <w:sectPr w:rsidR="002C77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77"/>
    <w:rsid w:val="000047C7"/>
    <w:rsid w:val="000611A2"/>
    <w:rsid w:val="00293777"/>
    <w:rsid w:val="002C777F"/>
    <w:rsid w:val="004027DB"/>
    <w:rsid w:val="004E6D4D"/>
    <w:rsid w:val="007A220E"/>
    <w:rsid w:val="008555EE"/>
    <w:rsid w:val="009975BD"/>
    <w:rsid w:val="00B82737"/>
    <w:rsid w:val="00F7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6E9F"/>
  <w15:chartTrackingRefBased/>
  <w15:docId w15:val="{923023AA-B4D1-4435-BBE4-04A122B2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ATIENZA GALVEZ</dc:creator>
  <cp:keywords/>
  <dc:description/>
  <cp:lastModifiedBy>MIGUEL ANGEL ATIENZA GALVEZ</cp:lastModifiedBy>
  <cp:revision>5</cp:revision>
  <dcterms:created xsi:type="dcterms:W3CDTF">2022-04-04T09:49:00Z</dcterms:created>
  <dcterms:modified xsi:type="dcterms:W3CDTF">2022-04-19T17:46:00Z</dcterms:modified>
</cp:coreProperties>
</file>