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9D7B" w14:textId="77777777" w:rsidR="00643843" w:rsidRPr="00643843" w:rsidRDefault="00643843" w:rsidP="00643843">
      <w:pPr>
        <w:shd w:val="clear" w:color="auto" w:fill="FFFFFF"/>
        <w:spacing w:after="150" w:line="360" w:lineRule="atLeast"/>
        <w:textAlignment w:val="baseline"/>
        <w:outlineLvl w:val="0"/>
        <w:rPr>
          <w:rFonts w:ascii="Helvetica" w:eastAsia="Times New Roman" w:hAnsi="Helvetica" w:cs="Helvetica"/>
          <w:b/>
          <w:bCs/>
          <w:color w:val="138D3E"/>
          <w:kern w:val="36"/>
          <w:sz w:val="30"/>
          <w:szCs w:val="30"/>
          <w:lang w:eastAsia="es-ES"/>
        </w:rPr>
      </w:pPr>
      <w:r w:rsidRPr="00643843">
        <w:rPr>
          <w:rFonts w:ascii="Helvetica" w:eastAsia="Times New Roman" w:hAnsi="Helvetica" w:cs="Helvetica"/>
          <w:b/>
          <w:bCs/>
          <w:color w:val="138D3E"/>
          <w:kern w:val="36"/>
          <w:sz w:val="30"/>
          <w:szCs w:val="30"/>
          <w:lang w:eastAsia="es-ES"/>
        </w:rPr>
        <w:t>Qué son las operaciones vinculadas, cómo se valoran y a quiénes afecta la normativa</w:t>
      </w:r>
    </w:p>
    <w:p w14:paraId="4A3C2491" w14:textId="77777777" w:rsidR="00643843" w:rsidRPr="00643843" w:rsidRDefault="00643843" w:rsidP="00643843">
      <w:pPr>
        <w:spacing w:after="0" w:line="360" w:lineRule="atLeast"/>
        <w:textAlignment w:val="baseline"/>
        <w:rPr>
          <w:rFonts w:ascii="Arial" w:eastAsia="Times New Roman" w:hAnsi="Arial" w:cs="Arial"/>
          <w:color w:val="555555"/>
          <w:sz w:val="20"/>
          <w:szCs w:val="20"/>
          <w:lang w:eastAsia="es-ES"/>
        </w:rPr>
      </w:pPr>
      <w:r w:rsidRPr="00643843">
        <w:rPr>
          <w:rFonts w:ascii="Arial" w:eastAsia="Times New Roman" w:hAnsi="Arial" w:cs="Arial"/>
          <w:color w:val="383838"/>
          <w:sz w:val="20"/>
          <w:szCs w:val="20"/>
          <w:bdr w:val="none" w:sz="0" w:space="0" w:color="auto" w:frame="1"/>
          <w:shd w:val="clear" w:color="auto" w:fill="DBF0E5"/>
          <w:lang w:eastAsia="es-ES"/>
        </w:rPr>
        <w:t>Enviado por </w:t>
      </w:r>
      <w:r w:rsidRPr="00643843">
        <w:rPr>
          <w:rFonts w:ascii="Arial" w:eastAsia="Times New Roman" w:hAnsi="Arial" w:cs="Arial"/>
          <w:color w:val="383838"/>
          <w:sz w:val="20"/>
          <w:szCs w:val="20"/>
          <w:bdr w:val="none" w:sz="0" w:space="0" w:color="auto" w:frame="1"/>
          <w:lang w:eastAsia="es-ES"/>
        </w:rPr>
        <w:t>Editorial</w:t>
      </w:r>
      <w:r w:rsidRPr="00643843">
        <w:rPr>
          <w:rFonts w:ascii="Arial" w:eastAsia="Times New Roman" w:hAnsi="Arial" w:cs="Arial"/>
          <w:color w:val="383838"/>
          <w:sz w:val="20"/>
          <w:szCs w:val="20"/>
          <w:bdr w:val="none" w:sz="0" w:space="0" w:color="auto" w:frame="1"/>
          <w:shd w:val="clear" w:color="auto" w:fill="DBF0E5"/>
          <w:lang w:eastAsia="es-ES"/>
        </w:rPr>
        <w:t> el Lun, 23/05/2016 - 09:09</w:t>
      </w:r>
    </w:p>
    <w:p w14:paraId="0053A0F4" w14:textId="77777777" w:rsidR="00643843" w:rsidRPr="00643843" w:rsidRDefault="00643843" w:rsidP="00643843">
      <w:pPr>
        <w:shd w:val="clear" w:color="auto" w:fill="FFFFFF"/>
        <w:spacing w:after="120" w:line="360" w:lineRule="atLeast"/>
        <w:jc w:val="center"/>
        <w:textAlignment w:val="baseline"/>
        <w:rPr>
          <w:rFonts w:ascii="Arial" w:eastAsia="Times New Roman" w:hAnsi="Arial" w:cs="Arial"/>
          <w:color w:val="555555"/>
          <w:sz w:val="16"/>
          <w:szCs w:val="16"/>
          <w:lang w:eastAsia="es-ES"/>
        </w:rPr>
      </w:pPr>
      <w:r w:rsidRPr="00643843">
        <w:rPr>
          <w:rFonts w:ascii="Arial" w:eastAsia="Times New Roman" w:hAnsi="Arial" w:cs="Arial"/>
          <w:noProof/>
          <w:color w:val="555555"/>
          <w:sz w:val="16"/>
          <w:szCs w:val="16"/>
          <w:lang w:eastAsia="es-ES"/>
        </w:rPr>
        <w:drawing>
          <wp:inline distT="0" distB="0" distL="0" distR="0" wp14:anchorId="2BBDBFB9" wp14:editId="2970DD06">
            <wp:extent cx="1906270" cy="1906270"/>
            <wp:effectExtent l="0" t="0" r="0" b="0"/>
            <wp:docPr id="1" name="Imagen 1" descr="Qué son las operaciones vinculadas, cómo se valoran y a quiénes afecta la n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on las operaciones vinculadas, cómo se valoran y a quiénes afecta la normati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23524EB0" w14:textId="77777777" w:rsidR="00643843" w:rsidRPr="00643843" w:rsidRDefault="00643843" w:rsidP="00643843">
      <w:pPr>
        <w:spacing w:after="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Las operaciones vinculadas son aquellas que se realizan entre personas físicas o jurídicas entre las cuales existe un </w:t>
      </w:r>
      <w:r w:rsidRPr="00643843">
        <w:rPr>
          <w:rFonts w:ascii="Arial" w:eastAsia="Times New Roman" w:hAnsi="Arial" w:cs="Arial"/>
          <w:b/>
          <w:bCs/>
          <w:color w:val="222222"/>
          <w:sz w:val="20"/>
          <w:szCs w:val="20"/>
          <w:bdr w:val="none" w:sz="0" w:space="0" w:color="auto" w:frame="1"/>
          <w:lang w:eastAsia="es-ES"/>
        </w:rPr>
        <w:t>determinado grado de vinculación entre ellas</w:t>
      </w:r>
      <w:r w:rsidRPr="00643843">
        <w:rPr>
          <w:rFonts w:ascii="Arial" w:eastAsia="Times New Roman" w:hAnsi="Arial" w:cs="Arial"/>
          <w:color w:val="222222"/>
          <w:sz w:val="20"/>
          <w:szCs w:val="20"/>
          <w:lang w:eastAsia="es-ES"/>
        </w:rPr>
        <w:t>, ya sea porque pertenecen a un mismo </w:t>
      </w:r>
      <w:hyperlink r:id="rId6" w:history="1">
        <w:r w:rsidRPr="00643843">
          <w:rPr>
            <w:rFonts w:ascii="Arial" w:eastAsia="Times New Roman" w:hAnsi="Arial" w:cs="Arial"/>
            <w:b/>
            <w:bCs/>
            <w:color w:val="138D3E"/>
            <w:sz w:val="20"/>
            <w:szCs w:val="20"/>
            <w:bdr w:val="none" w:sz="0" w:space="0" w:color="auto" w:frame="1"/>
            <w:lang w:eastAsia="es-ES"/>
          </w:rPr>
          <w:t>grupo empresarial</w:t>
        </w:r>
      </w:hyperlink>
      <w:r w:rsidRPr="00643843">
        <w:rPr>
          <w:rFonts w:ascii="Arial" w:eastAsia="Times New Roman" w:hAnsi="Arial" w:cs="Arial"/>
          <w:color w:val="222222"/>
          <w:sz w:val="20"/>
          <w:szCs w:val="20"/>
          <w:lang w:eastAsia="es-ES"/>
        </w:rPr>
        <w:t>, comparten administradores, tienen accionistas comunes, o porque existe una relación familiar de primer o segundo grado entre las personas que realizan la operación.</w:t>
      </w:r>
    </w:p>
    <w:p w14:paraId="27A18990" w14:textId="5CF117FF" w:rsidR="00643843" w:rsidRPr="00643843" w:rsidRDefault="00E3620C" w:rsidP="00643843">
      <w:pPr>
        <w:spacing w:after="0" w:line="360" w:lineRule="atLeast"/>
        <w:ind w:left="240" w:right="240"/>
        <w:jc w:val="both"/>
        <w:textAlignment w:val="baseline"/>
        <w:rPr>
          <w:rFonts w:ascii="Arial" w:eastAsia="Times New Roman" w:hAnsi="Arial" w:cs="Arial"/>
          <w:color w:val="222222"/>
          <w:sz w:val="20"/>
          <w:szCs w:val="20"/>
          <w:lang w:eastAsia="es-ES"/>
        </w:rPr>
      </w:pPr>
      <w:hyperlink w:anchor="_Artículo_18._Operaciones" w:history="1">
        <w:r w:rsidR="00643843" w:rsidRPr="00E3620C">
          <w:rPr>
            <w:rStyle w:val="Hipervnculo"/>
            <w:rFonts w:ascii="Arial" w:eastAsia="Times New Roman" w:hAnsi="Arial" w:cs="Arial"/>
            <w:sz w:val="20"/>
            <w:szCs w:val="20"/>
            <w:lang w:eastAsia="es-ES"/>
          </w:rPr>
          <w:t>En el artí</w:t>
        </w:r>
        <w:r w:rsidR="00643843" w:rsidRPr="00E3620C">
          <w:rPr>
            <w:rStyle w:val="Hipervnculo"/>
            <w:rFonts w:ascii="Arial" w:eastAsia="Times New Roman" w:hAnsi="Arial" w:cs="Arial"/>
            <w:sz w:val="20"/>
            <w:szCs w:val="20"/>
            <w:lang w:eastAsia="es-ES"/>
          </w:rPr>
          <w:t>c</w:t>
        </w:r>
        <w:r w:rsidR="00643843" w:rsidRPr="00E3620C">
          <w:rPr>
            <w:rStyle w:val="Hipervnculo"/>
            <w:rFonts w:ascii="Arial" w:eastAsia="Times New Roman" w:hAnsi="Arial" w:cs="Arial"/>
            <w:sz w:val="20"/>
            <w:szCs w:val="20"/>
            <w:lang w:eastAsia="es-ES"/>
          </w:rPr>
          <w:t>ulo 18</w:t>
        </w:r>
      </w:hyperlink>
      <w:r w:rsidR="00643843" w:rsidRPr="00643843">
        <w:rPr>
          <w:rFonts w:ascii="Arial" w:eastAsia="Times New Roman" w:hAnsi="Arial" w:cs="Arial"/>
          <w:color w:val="222222"/>
          <w:sz w:val="20"/>
          <w:szCs w:val="20"/>
          <w:lang w:eastAsia="es-ES"/>
        </w:rPr>
        <w:t xml:space="preserve"> de la Ley del </w:t>
      </w:r>
      <w:hyperlink r:id="rId7" w:history="1">
        <w:r w:rsidR="00643843" w:rsidRPr="00643843">
          <w:rPr>
            <w:rFonts w:ascii="Arial" w:eastAsia="Times New Roman" w:hAnsi="Arial" w:cs="Arial"/>
            <w:b/>
            <w:bCs/>
            <w:color w:val="138D3E"/>
            <w:sz w:val="20"/>
            <w:szCs w:val="20"/>
            <w:bdr w:val="none" w:sz="0" w:space="0" w:color="auto" w:frame="1"/>
            <w:lang w:eastAsia="es-ES"/>
          </w:rPr>
          <w:t>Impuesto sobre Sociedades</w:t>
        </w:r>
      </w:hyperlink>
      <w:r w:rsidR="00643843" w:rsidRPr="00643843">
        <w:rPr>
          <w:rFonts w:ascii="Arial" w:eastAsia="Times New Roman" w:hAnsi="Arial" w:cs="Arial"/>
          <w:color w:val="222222"/>
          <w:sz w:val="20"/>
          <w:szCs w:val="20"/>
          <w:lang w:eastAsia="es-ES"/>
        </w:rPr>
        <w:t>, se especifica que "las operaciones efectuadas entre personas o entidades vinculadas se valorarán por su valor de mercado. Se entenderá por valor de mercado aquel que se habría </w:t>
      </w:r>
      <w:r w:rsidR="00643843" w:rsidRPr="00643843">
        <w:rPr>
          <w:rFonts w:ascii="Arial" w:eastAsia="Times New Roman" w:hAnsi="Arial" w:cs="Arial"/>
          <w:b/>
          <w:bCs/>
          <w:color w:val="222222"/>
          <w:sz w:val="20"/>
          <w:szCs w:val="20"/>
          <w:bdr w:val="none" w:sz="0" w:space="0" w:color="auto" w:frame="1"/>
          <w:lang w:eastAsia="es-ES"/>
        </w:rPr>
        <w:t>acordado por personas o entidades independientes </w:t>
      </w:r>
      <w:r w:rsidR="00643843" w:rsidRPr="00643843">
        <w:rPr>
          <w:rFonts w:ascii="Arial" w:eastAsia="Times New Roman" w:hAnsi="Arial" w:cs="Arial"/>
          <w:color w:val="222222"/>
          <w:sz w:val="20"/>
          <w:szCs w:val="20"/>
          <w:lang w:eastAsia="es-ES"/>
        </w:rPr>
        <w:t>en condiciones que respeten el principio de</w:t>
      </w:r>
      <w:r w:rsidR="00643843" w:rsidRPr="00643843">
        <w:rPr>
          <w:rFonts w:ascii="Arial" w:eastAsia="Times New Roman" w:hAnsi="Arial" w:cs="Arial"/>
          <w:b/>
          <w:bCs/>
          <w:color w:val="222222"/>
          <w:sz w:val="20"/>
          <w:szCs w:val="20"/>
          <w:bdr w:val="none" w:sz="0" w:space="0" w:color="auto" w:frame="1"/>
          <w:lang w:eastAsia="es-ES"/>
        </w:rPr>
        <w:t> libre competencia</w:t>
      </w:r>
      <w:r w:rsidR="00643843" w:rsidRPr="00643843">
        <w:rPr>
          <w:rFonts w:ascii="Arial" w:eastAsia="Times New Roman" w:hAnsi="Arial" w:cs="Arial"/>
          <w:color w:val="222222"/>
          <w:sz w:val="20"/>
          <w:szCs w:val="20"/>
          <w:lang w:eastAsia="es-ES"/>
        </w:rPr>
        <w:t>".</w:t>
      </w:r>
    </w:p>
    <w:p w14:paraId="7B271015" w14:textId="77777777" w:rsidR="00643843" w:rsidRPr="00643843" w:rsidRDefault="00643843" w:rsidP="00643843">
      <w:pPr>
        <w:spacing w:before="240" w:after="24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Las operaciones vinculadas afectan a las empresas en varios aspectos:</w:t>
      </w:r>
    </w:p>
    <w:p w14:paraId="24A0ED5E" w14:textId="77777777" w:rsidR="00643843" w:rsidRPr="00643843" w:rsidRDefault="00643843" w:rsidP="00643843">
      <w:pPr>
        <w:numPr>
          <w:ilvl w:val="0"/>
          <w:numId w:val="1"/>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Contables</w:t>
      </w:r>
      <w:r w:rsidRPr="00643843">
        <w:rPr>
          <w:rFonts w:ascii="Arial" w:eastAsia="Times New Roman" w:hAnsi="Arial" w:cs="Arial"/>
          <w:color w:val="555555"/>
          <w:sz w:val="20"/>
          <w:szCs w:val="20"/>
          <w:lang w:eastAsia="es-ES"/>
        </w:rPr>
        <w:t xml:space="preserve">, por aplicación de la normativa contable y de las normas internacionales sobre precios de transferencia. </w:t>
      </w:r>
      <w:proofErr w:type="gramStart"/>
      <w:r w:rsidRPr="00643843">
        <w:rPr>
          <w:rFonts w:ascii="Arial" w:eastAsia="Times New Roman" w:hAnsi="Arial" w:cs="Arial"/>
          <w:color w:val="555555"/>
          <w:sz w:val="20"/>
          <w:szCs w:val="20"/>
          <w:lang w:eastAsia="es-ES"/>
        </w:rPr>
        <w:t>Además</w:t>
      </w:r>
      <w:proofErr w:type="gramEnd"/>
      <w:r w:rsidRPr="00643843">
        <w:rPr>
          <w:rFonts w:ascii="Arial" w:eastAsia="Times New Roman" w:hAnsi="Arial" w:cs="Arial"/>
          <w:color w:val="555555"/>
          <w:sz w:val="20"/>
          <w:szCs w:val="20"/>
          <w:lang w:eastAsia="es-ES"/>
        </w:rPr>
        <w:t xml:space="preserve"> existen obligaciones de información y documentación contable en el ámbito de las cuentas anuales, concretamente en la memoria del PGC y del PGC-PYME.</w:t>
      </w:r>
    </w:p>
    <w:p w14:paraId="4CBEECD0" w14:textId="77777777" w:rsidR="00643843" w:rsidRPr="00643843" w:rsidRDefault="00643843" w:rsidP="00643843">
      <w:pPr>
        <w:numPr>
          <w:ilvl w:val="0"/>
          <w:numId w:val="1"/>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Fiscales</w:t>
      </w:r>
      <w:r w:rsidRPr="00643843">
        <w:rPr>
          <w:rFonts w:ascii="Arial" w:eastAsia="Times New Roman" w:hAnsi="Arial" w:cs="Arial"/>
          <w:color w:val="555555"/>
          <w:sz w:val="20"/>
          <w:szCs w:val="20"/>
          <w:lang w:eastAsia="es-ES"/>
        </w:rPr>
        <w:t>, para cumplir con los requerimientos de la Agencia Tributaria.</w:t>
      </w:r>
    </w:p>
    <w:p w14:paraId="538FD435" w14:textId="77777777" w:rsidR="00643843" w:rsidRPr="00643843" w:rsidRDefault="00643843" w:rsidP="00643843">
      <w:pPr>
        <w:numPr>
          <w:ilvl w:val="0"/>
          <w:numId w:val="1"/>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Económico-financieros</w:t>
      </w:r>
      <w:r w:rsidRPr="00643843">
        <w:rPr>
          <w:rFonts w:ascii="Arial" w:eastAsia="Times New Roman" w:hAnsi="Arial" w:cs="Arial"/>
          <w:color w:val="555555"/>
          <w:sz w:val="20"/>
          <w:szCs w:val="20"/>
          <w:lang w:eastAsia="es-ES"/>
        </w:rPr>
        <w:t>.</w:t>
      </w:r>
    </w:p>
    <w:p w14:paraId="4FCCDDA1" w14:textId="77777777" w:rsidR="00643843" w:rsidRPr="00643843" w:rsidRDefault="00643843" w:rsidP="00643843">
      <w:pPr>
        <w:spacing w:before="240" w:after="24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El análisis de los </w:t>
      </w:r>
      <w:hyperlink r:id="rId8" w:history="1">
        <w:r w:rsidRPr="00643843">
          <w:rPr>
            <w:rFonts w:ascii="Arial" w:eastAsia="Times New Roman" w:hAnsi="Arial" w:cs="Arial"/>
            <w:color w:val="138D3E"/>
            <w:sz w:val="20"/>
            <w:szCs w:val="20"/>
            <w:lang w:eastAsia="es-ES"/>
          </w:rPr>
          <w:t>aspectos contables</w:t>
        </w:r>
      </w:hyperlink>
      <w:r w:rsidRPr="00643843">
        <w:rPr>
          <w:rFonts w:ascii="Arial" w:eastAsia="Times New Roman" w:hAnsi="Arial" w:cs="Arial"/>
          <w:color w:val="222222"/>
          <w:sz w:val="20"/>
          <w:szCs w:val="20"/>
          <w:lang w:eastAsia="es-ES"/>
        </w:rPr>
        <w:t>, fiscales y documentales en cada supuesto de aplicación requiere de un estudio pormenorizado, estudio que se puede abordar en tres fases:</w:t>
      </w:r>
    </w:p>
    <w:p w14:paraId="015F444E" w14:textId="77777777" w:rsidR="00643843" w:rsidRPr="00643843" w:rsidRDefault="00643843" w:rsidP="00643843">
      <w:pPr>
        <w:numPr>
          <w:ilvl w:val="0"/>
          <w:numId w:val="2"/>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Análisis de las operaciones vinculadas</w:t>
      </w:r>
      <w:r w:rsidRPr="00643843">
        <w:rPr>
          <w:rFonts w:ascii="Arial" w:eastAsia="Times New Roman" w:hAnsi="Arial" w:cs="Arial"/>
          <w:color w:val="555555"/>
          <w:sz w:val="20"/>
          <w:szCs w:val="20"/>
          <w:lang w:eastAsia="es-ES"/>
        </w:rPr>
        <w:t>: valoración fiscal, concepto de vinculación, análisis de los métodos de valoración, documentación de las operaciones, sanciones y análisis de las principales operaciones.</w:t>
      </w:r>
    </w:p>
    <w:p w14:paraId="3ECC1D82" w14:textId="77777777" w:rsidR="00643843" w:rsidRPr="00643843" w:rsidRDefault="00643843" w:rsidP="00643843">
      <w:pPr>
        <w:numPr>
          <w:ilvl w:val="0"/>
          <w:numId w:val="2"/>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La contabilidad de las operaciones vinculadas</w:t>
      </w:r>
      <w:r w:rsidRPr="00643843">
        <w:rPr>
          <w:rFonts w:ascii="Arial" w:eastAsia="Times New Roman" w:hAnsi="Arial" w:cs="Arial"/>
          <w:color w:val="555555"/>
          <w:sz w:val="20"/>
          <w:szCs w:val="20"/>
          <w:lang w:eastAsia="es-ES"/>
        </w:rPr>
        <w:t xml:space="preserve">: concepto de operación vinculada en el ámbito contable, contabilización de las operaciones y tipos de operaciones entre partes </w:t>
      </w:r>
      <w:r w:rsidRPr="00643843">
        <w:rPr>
          <w:rFonts w:ascii="Arial" w:eastAsia="Times New Roman" w:hAnsi="Arial" w:cs="Arial"/>
          <w:color w:val="555555"/>
          <w:sz w:val="20"/>
          <w:szCs w:val="20"/>
          <w:lang w:eastAsia="es-ES"/>
        </w:rPr>
        <w:lastRenderedPageBreak/>
        <w:t>vinculadas. Las principales operaciones entre partes vinculadas que afectan a la contabilidad son:</w:t>
      </w:r>
      <w:r w:rsidRPr="00643843">
        <w:rPr>
          <w:rFonts w:ascii="Arial" w:eastAsia="Times New Roman" w:hAnsi="Arial" w:cs="Arial"/>
          <w:color w:val="555555"/>
          <w:sz w:val="20"/>
          <w:szCs w:val="20"/>
          <w:lang w:eastAsia="es-ES"/>
        </w:rPr>
        <w:br/>
      </w:r>
      <w:r w:rsidRPr="00643843">
        <w:rPr>
          <w:rFonts w:ascii="Arial" w:eastAsia="Times New Roman" w:hAnsi="Arial" w:cs="Arial"/>
          <w:color w:val="555555"/>
          <w:sz w:val="20"/>
          <w:szCs w:val="20"/>
          <w:lang w:eastAsia="es-ES"/>
        </w:rPr>
        <w:br/>
      </w:r>
    </w:p>
    <w:p w14:paraId="3794CE68"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Préstamos sociedad-socio y socio-sociedad.</w:t>
      </w:r>
    </w:p>
    <w:p w14:paraId="62BF4A57"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Alquileres sociedad-socio y socio-sociedad.</w:t>
      </w:r>
    </w:p>
    <w:p w14:paraId="5F93CE49"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Aportación no dineraria.</w:t>
      </w:r>
    </w:p>
    <w:p w14:paraId="445DA8D3"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Ventas de inmovilizado.</w:t>
      </w:r>
    </w:p>
    <w:p w14:paraId="58228C7B"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Ventas de existencias.</w:t>
      </w:r>
    </w:p>
    <w:p w14:paraId="40741EC1"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Prestaciones de servicios.</w:t>
      </w:r>
    </w:p>
    <w:p w14:paraId="41CCA44F" w14:textId="77777777" w:rsidR="00643843" w:rsidRPr="00643843" w:rsidRDefault="00643843" w:rsidP="00643843">
      <w:pPr>
        <w:numPr>
          <w:ilvl w:val="1"/>
          <w:numId w:val="2"/>
        </w:numPr>
        <w:spacing w:after="15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Combinaciones de negocios.</w:t>
      </w:r>
    </w:p>
    <w:p w14:paraId="62C84E80" w14:textId="77777777" w:rsidR="00643843" w:rsidRPr="00643843" w:rsidRDefault="00643843" w:rsidP="00643843">
      <w:pPr>
        <w:numPr>
          <w:ilvl w:val="1"/>
          <w:numId w:val="2"/>
        </w:numPr>
        <w:spacing w:after="24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Contabilidad de las inversiones en el patrimonio de empresas del grupo, multigrupo y asociadas.</w:t>
      </w:r>
    </w:p>
    <w:p w14:paraId="3978829B" w14:textId="77777777" w:rsidR="00643843" w:rsidRPr="00643843" w:rsidRDefault="00643843" w:rsidP="00643843">
      <w:pPr>
        <w:numPr>
          <w:ilvl w:val="0"/>
          <w:numId w:val="2"/>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Los precios de transferencia entre operaciones entre empresas del grupo</w:t>
      </w:r>
      <w:r w:rsidRPr="00643843">
        <w:rPr>
          <w:rFonts w:ascii="Arial" w:eastAsia="Times New Roman" w:hAnsi="Arial" w:cs="Arial"/>
          <w:color w:val="555555"/>
          <w:sz w:val="20"/>
          <w:szCs w:val="20"/>
          <w:lang w:eastAsia="es-ES"/>
        </w:rPr>
        <w:t>.</w:t>
      </w:r>
    </w:p>
    <w:p w14:paraId="5F3742AF" w14:textId="77777777" w:rsidR="00643843" w:rsidRPr="00643843" w:rsidRDefault="00643843" w:rsidP="00643843">
      <w:pPr>
        <w:spacing w:after="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Todos estos aspectos se tratan de una manera práctica y detallada en el </w:t>
      </w:r>
      <w:hyperlink r:id="rId9" w:tgtFrame="_blank" w:history="1">
        <w:r w:rsidRPr="00643843">
          <w:rPr>
            <w:rFonts w:ascii="Arial" w:eastAsia="Times New Roman" w:hAnsi="Arial" w:cs="Arial"/>
            <w:b/>
            <w:bCs/>
            <w:color w:val="138D3E"/>
            <w:sz w:val="20"/>
            <w:szCs w:val="20"/>
            <w:bdr w:val="none" w:sz="0" w:space="0" w:color="auto" w:frame="1"/>
            <w:lang w:eastAsia="es-ES"/>
          </w:rPr>
          <w:t>Curso Monográfico sobre Operaciones Vinculadas y Precios de Transferencia</w:t>
        </w:r>
      </w:hyperlink>
      <w:r w:rsidRPr="00643843">
        <w:rPr>
          <w:rFonts w:ascii="Arial" w:eastAsia="Times New Roman" w:hAnsi="Arial" w:cs="Arial"/>
          <w:color w:val="222222"/>
          <w:sz w:val="20"/>
          <w:szCs w:val="20"/>
          <w:lang w:eastAsia="es-ES"/>
        </w:rPr>
        <w:t> que se imparte en el CEF.</w:t>
      </w:r>
    </w:p>
    <w:p w14:paraId="66060D43" w14:textId="77777777" w:rsidR="00643843" w:rsidRPr="00643843" w:rsidRDefault="00643843" w:rsidP="00643843">
      <w:pPr>
        <w:spacing w:after="150" w:line="360" w:lineRule="atLeast"/>
        <w:textAlignment w:val="baseline"/>
        <w:outlineLvl w:val="1"/>
        <w:rPr>
          <w:rFonts w:ascii="Arial" w:eastAsia="Times New Roman" w:hAnsi="Arial" w:cs="Arial"/>
          <w:b/>
          <w:bCs/>
          <w:color w:val="555555"/>
          <w:sz w:val="32"/>
          <w:szCs w:val="32"/>
          <w:lang w:eastAsia="es-ES"/>
        </w:rPr>
      </w:pPr>
      <w:r w:rsidRPr="00643843">
        <w:rPr>
          <w:rFonts w:ascii="Arial" w:eastAsia="Times New Roman" w:hAnsi="Arial" w:cs="Arial"/>
          <w:b/>
          <w:bCs/>
          <w:color w:val="555555"/>
          <w:sz w:val="32"/>
          <w:szCs w:val="32"/>
          <w:lang w:eastAsia="es-ES"/>
        </w:rPr>
        <w:t>¿Cómo se valorarán las operaciones efectuadas entre personas o entidades vinculadas?</w:t>
      </w:r>
    </w:p>
    <w:p w14:paraId="1137AD71" w14:textId="77777777" w:rsidR="00643843" w:rsidRPr="00643843" w:rsidRDefault="00643843" w:rsidP="00643843">
      <w:pPr>
        <w:spacing w:before="240" w:after="24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Las operaciones efectuadas entre personas o entidades vinculadas se valorarán por su valor normal de mercado, siendo este aquel que se habría acordado por personas o entidades independientes en condiciones de libre competencia.</w:t>
      </w:r>
    </w:p>
    <w:p w14:paraId="20058352" w14:textId="77777777" w:rsidR="00643843" w:rsidRPr="00643843" w:rsidRDefault="00643843" w:rsidP="00643843">
      <w:pPr>
        <w:spacing w:after="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Para la determinación de un precio de transferencia de mercado entre partes vinculadas, </w:t>
      </w:r>
      <w:r w:rsidRPr="00643843">
        <w:rPr>
          <w:rFonts w:ascii="Arial" w:eastAsia="Times New Roman" w:hAnsi="Arial" w:cs="Arial"/>
          <w:b/>
          <w:bCs/>
          <w:color w:val="222222"/>
          <w:sz w:val="20"/>
          <w:szCs w:val="20"/>
          <w:bdr w:val="none" w:sz="0" w:space="0" w:color="auto" w:frame="1"/>
          <w:lang w:eastAsia="es-ES"/>
        </w:rPr>
        <w:t>se pueden utilizar varios métodos</w:t>
      </w:r>
      <w:r w:rsidRPr="00643843">
        <w:rPr>
          <w:rFonts w:ascii="Arial" w:eastAsia="Times New Roman" w:hAnsi="Arial" w:cs="Arial"/>
          <w:color w:val="222222"/>
          <w:sz w:val="20"/>
          <w:szCs w:val="20"/>
          <w:lang w:eastAsia="es-ES"/>
        </w:rPr>
        <w:t>. Nos centraremos en los directos que son:</w:t>
      </w:r>
    </w:p>
    <w:p w14:paraId="0E8BAE45" w14:textId="77777777" w:rsidR="00643843" w:rsidRPr="00643843" w:rsidRDefault="00643843" w:rsidP="00643843">
      <w:pPr>
        <w:numPr>
          <w:ilvl w:val="0"/>
          <w:numId w:val="3"/>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Método del Precio Comparable no controlado (CUP). </w:t>
      </w:r>
      <w:r w:rsidRPr="00643843">
        <w:rPr>
          <w:rFonts w:ascii="Arial" w:eastAsia="Times New Roman" w:hAnsi="Arial" w:cs="Arial"/>
          <w:color w:val="555555"/>
          <w:sz w:val="20"/>
          <w:szCs w:val="20"/>
          <w:lang w:eastAsia="es-ES"/>
        </w:rPr>
        <w:t>Compara el precio de la transacción calificada como operación vinculada con otras </w:t>
      </w:r>
      <w:r w:rsidRPr="00643843">
        <w:rPr>
          <w:rFonts w:ascii="Arial" w:eastAsia="Times New Roman" w:hAnsi="Arial" w:cs="Arial"/>
          <w:b/>
          <w:bCs/>
          <w:color w:val="555555"/>
          <w:sz w:val="20"/>
          <w:szCs w:val="20"/>
          <w:bdr w:val="none" w:sz="0" w:space="0" w:color="auto" w:frame="1"/>
          <w:lang w:eastAsia="es-ES"/>
        </w:rPr>
        <w:t>transacciones similares comparables</w:t>
      </w:r>
      <w:r w:rsidRPr="00643843">
        <w:rPr>
          <w:rFonts w:ascii="Arial" w:eastAsia="Times New Roman" w:hAnsi="Arial" w:cs="Arial"/>
          <w:color w:val="555555"/>
          <w:sz w:val="20"/>
          <w:szCs w:val="20"/>
          <w:lang w:eastAsia="es-ES"/>
        </w:rPr>
        <w:t>, no controladas o externas, realizadas entre las partes. Este método compara precios, no márgenes y para ello se pueden utilizar los precios de clientes o proveedores, comparando las características físicas del producto, su calidad, mercado geográfico de la venta, etc.</w:t>
      </w:r>
    </w:p>
    <w:p w14:paraId="1FA93980" w14:textId="77777777" w:rsidR="00643843" w:rsidRPr="00643843" w:rsidRDefault="00643843" w:rsidP="00643843">
      <w:pPr>
        <w:numPr>
          <w:ilvl w:val="0"/>
          <w:numId w:val="3"/>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Método del Precio de Reventa. </w:t>
      </w:r>
      <w:r w:rsidRPr="00643843">
        <w:rPr>
          <w:rFonts w:ascii="Arial" w:eastAsia="Times New Roman" w:hAnsi="Arial" w:cs="Arial"/>
          <w:color w:val="555555"/>
          <w:sz w:val="20"/>
          <w:szCs w:val="20"/>
          <w:lang w:eastAsia="es-ES"/>
        </w:rPr>
        <w:t xml:space="preserve">Utiliza el margen que un vendedor independiente obtendría en la reventa de un producto similar al que ha sido objeto de transacción en la operación vinculada. Se aplica habitualmente en actividades de distribución. Para su cálculo se utilizan: compras de productos similares a personas no vinculadas, ventas de productos similares por parte del </w:t>
      </w:r>
      <w:r w:rsidRPr="00643843">
        <w:rPr>
          <w:rFonts w:ascii="Arial" w:eastAsia="Times New Roman" w:hAnsi="Arial" w:cs="Arial"/>
          <w:color w:val="555555"/>
          <w:sz w:val="20"/>
          <w:szCs w:val="20"/>
          <w:lang w:eastAsia="es-ES"/>
        </w:rPr>
        <w:lastRenderedPageBreak/>
        <w:t>proveedor a partes no vinculadas en mercados similares y operaciones similares realizadas entre partes independientes.</w:t>
      </w:r>
    </w:p>
    <w:p w14:paraId="3A0FB253" w14:textId="77777777" w:rsidR="00643843" w:rsidRPr="00643843" w:rsidRDefault="00643843" w:rsidP="00643843">
      <w:pPr>
        <w:numPr>
          <w:ilvl w:val="0"/>
          <w:numId w:val="3"/>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b/>
          <w:bCs/>
          <w:color w:val="555555"/>
          <w:sz w:val="20"/>
          <w:szCs w:val="20"/>
          <w:bdr w:val="none" w:sz="0" w:space="0" w:color="auto" w:frame="1"/>
          <w:lang w:eastAsia="es-ES"/>
        </w:rPr>
        <w:t>Método del Coste Incrementado (C+). </w:t>
      </w:r>
      <w:r w:rsidRPr="00643843">
        <w:rPr>
          <w:rFonts w:ascii="Arial" w:eastAsia="Times New Roman" w:hAnsi="Arial" w:cs="Arial"/>
          <w:color w:val="555555"/>
          <w:sz w:val="20"/>
          <w:szCs w:val="20"/>
          <w:lang w:eastAsia="es-ES"/>
        </w:rPr>
        <w:t>Compara las operaciones vinculadas de acuerdo con los márgenes brutos obtenidos, añadiendo un margen adecuado que se utilizaría en una transacción independiente.</w:t>
      </w:r>
    </w:p>
    <w:p w14:paraId="0738F74B" w14:textId="77777777" w:rsidR="00643843" w:rsidRPr="00643843" w:rsidRDefault="00643843" w:rsidP="00643843">
      <w:pPr>
        <w:spacing w:after="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También existen métodos indirectos de valoración como el Método de la Distribución del Resultado o Beneficio (</w:t>
      </w:r>
      <w:proofErr w:type="spellStart"/>
      <w:r w:rsidRPr="00643843">
        <w:rPr>
          <w:rFonts w:ascii="Arial" w:eastAsia="Times New Roman" w:hAnsi="Arial" w:cs="Arial"/>
          <w:color w:val="222222"/>
          <w:sz w:val="20"/>
          <w:szCs w:val="20"/>
          <w:lang w:eastAsia="es-ES"/>
        </w:rPr>
        <w:t>profit</w:t>
      </w:r>
      <w:proofErr w:type="spellEnd"/>
      <w:r w:rsidRPr="00643843">
        <w:rPr>
          <w:rFonts w:ascii="Arial" w:eastAsia="Times New Roman" w:hAnsi="Arial" w:cs="Arial"/>
          <w:color w:val="222222"/>
          <w:sz w:val="20"/>
          <w:szCs w:val="20"/>
          <w:lang w:eastAsia="es-ES"/>
        </w:rPr>
        <w:t> </w:t>
      </w:r>
      <w:proofErr w:type="spellStart"/>
      <w:r w:rsidRPr="00643843">
        <w:rPr>
          <w:rFonts w:ascii="Arial" w:eastAsia="Times New Roman" w:hAnsi="Arial" w:cs="Arial"/>
          <w:i/>
          <w:iCs/>
          <w:color w:val="222222"/>
          <w:sz w:val="20"/>
          <w:szCs w:val="20"/>
          <w:bdr w:val="none" w:sz="0" w:space="0" w:color="auto" w:frame="1"/>
          <w:lang w:eastAsia="es-ES"/>
        </w:rPr>
        <w:t>split</w:t>
      </w:r>
      <w:proofErr w:type="spellEnd"/>
      <w:r w:rsidRPr="00643843">
        <w:rPr>
          <w:rFonts w:ascii="Arial" w:eastAsia="Times New Roman" w:hAnsi="Arial" w:cs="Arial"/>
          <w:color w:val="222222"/>
          <w:sz w:val="20"/>
          <w:szCs w:val="20"/>
          <w:lang w:eastAsia="es-ES"/>
        </w:rPr>
        <w:t>) y el Método del Margen Neto Transaccional o TNMM (</w:t>
      </w:r>
      <w:proofErr w:type="spellStart"/>
      <w:r w:rsidRPr="00643843">
        <w:rPr>
          <w:rFonts w:ascii="Arial" w:eastAsia="Times New Roman" w:hAnsi="Arial" w:cs="Arial"/>
          <w:i/>
          <w:iCs/>
          <w:color w:val="222222"/>
          <w:sz w:val="20"/>
          <w:szCs w:val="20"/>
          <w:bdr w:val="none" w:sz="0" w:space="0" w:color="auto" w:frame="1"/>
          <w:lang w:eastAsia="es-ES"/>
        </w:rPr>
        <w:t>Transactional</w:t>
      </w:r>
      <w:proofErr w:type="spellEnd"/>
      <w:r w:rsidRPr="00643843">
        <w:rPr>
          <w:rFonts w:ascii="Arial" w:eastAsia="Times New Roman" w:hAnsi="Arial" w:cs="Arial"/>
          <w:i/>
          <w:iCs/>
          <w:color w:val="222222"/>
          <w:sz w:val="20"/>
          <w:szCs w:val="20"/>
          <w:bdr w:val="none" w:sz="0" w:space="0" w:color="auto" w:frame="1"/>
          <w:lang w:eastAsia="es-ES"/>
        </w:rPr>
        <w:t xml:space="preserve"> Net </w:t>
      </w:r>
      <w:proofErr w:type="spellStart"/>
      <w:r w:rsidRPr="00643843">
        <w:rPr>
          <w:rFonts w:ascii="Arial" w:eastAsia="Times New Roman" w:hAnsi="Arial" w:cs="Arial"/>
          <w:i/>
          <w:iCs/>
          <w:color w:val="222222"/>
          <w:sz w:val="20"/>
          <w:szCs w:val="20"/>
          <w:bdr w:val="none" w:sz="0" w:space="0" w:color="auto" w:frame="1"/>
          <w:lang w:eastAsia="es-ES"/>
        </w:rPr>
        <w:t>Margin</w:t>
      </w:r>
      <w:proofErr w:type="spellEnd"/>
      <w:r w:rsidRPr="00643843">
        <w:rPr>
          <w:rFonts w:ascii="Arial" w:eastAsia="Times New Roman" w:hAnsi="Arial" w:cs="Arial"/>
          <w:i/>
          <w:iCs/>
          <w:color w:val="222222"/>
          <w:sz w:val="20"/>
          <w:szCs w:val="20"/>
          <w:bdr w:val="none" w:sz="0" w:space="0" w:color="auto" w:frame="1"/>
          <w:lang w:eastAsia="es-ES"/>
        </w:rPr>
        <w:t xml:space="preserve"> </w:t>
      </w:r>
      <w:proofErr w:type="spellStart"/>
      <w:r w:rsidRPr="00643843">
        <w:rPr>
          <w:rFonts w:ascii="Arial" w:eastAsia="Times New Roman" w:hAnsi="Arial" w:cs="Arial"/>
          <w:i/>
          <w:iCs/>
          <w:color w:val="222222"/>
          <w:sz w:val="20"/>
          <w:szCs w:val="20"/>
          <w:bdr w:val="none" w:sz="0" w:space="0" w:color="auto" w:frame="1"/>
          <w:lang w:eastAsia="es-ES"/>
        </w:rPr>
        <w:t>Metho</w:t>
      </w:r>
      <w:proofErr w:type="spellEnd"/>
      <w:r w:rsidRPr="00643843">
        <w:rPr>
          <w:rFonts w:ascii="Arial" w:eastAsia="Times New Roman" w:hAnsi="Arial" w:cs="Arial"/>
          <w:color w:val="222222"/>
          <w:sz w:val="20"/>
          <w:szCs w:val="20"/>
          <w:lang w:eastAsia="es-ES"/>
        </w:rPr>
        <w:t>)</w:t>
      </w:r>
    </w:p>
    <w:p w14:paraId="2F73A342" w14:textId="77777777" w:rsidR="00643843" w:rsidRPr="00643843" w:rsidRDefault="00643843" w:rsidP="00643843">
      <w:pPr>
        <w:spacing w:after="150" w:line="360" w:lineRule="atLeast"/>
        <w:textAlignment w:val="baseline"/>
        <w:outlineLvl w:val="1"/>
        <w:rPr>
          <w:rFonts w:ascii="Arial" w:eastAsia="Times New Roman" w:hAnsi="Arial" w:cs="Arial"/>
          <w:b/>
          <w:bCs/>
          <w:color w:val="555555"/>
          <w:sz w:val="32"/>
          <w:szCs w:val="32"/>
          <w:lang w:eastAsia="es-ES"/>
        </w:rPr>
      </w:pPr>
      <w:r w:rsidRPr="00643843">
        <w:rPr>
          <w:rFonts w:ascii="Arial" w:eastAsia="Times New Roman" w:hAnsi="Arial" w:cs="Arial"/>
          <w:b/>
          <w:bCs/>
          <w:color w:val="555555"/>
          <w:sz w:val="32"/>
          <w:szCs w:val="32"/>
          <w:lang w:eastAsia="es-ES"/>
        </w:rPr>
        <w:t>¿Qué empresas están eximidas del cumplimiento de las obligaciones de documentación de las operaciones vinculadas?</w:t>
      </w:r>
    </w:p>
    <w:p w14:paraId="024AD87F" w14:textId="77777777" w:rsidR="00643843" w:rsidRPr="00643843" w:rsidRDefault="00643843" w:rsidP="00643843">
      <w:pPr>
        <w:spacing w:after="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La Administración tributaria podrá comprobar que las operaciones realizadas entre personas o entidades vinculadas se han valorado por su </w:t>
      </w:r>
      <w:r w:rsidRPr="00643843">
        <w:rPr>
          <w:rFonts w:ascii="Arial" w:eastAsia="Times New Roman" w:hAnsi="Arial" w:cs="Arial"/>
          <w:b/>
          <w:bCs/>
          <w:color w:val="222222"/>
          <w:sz w:val="20"/>
          <w:szCs w:val="20"/>
          <w:bdr w:val="none" w:sz="0" w:space="0" w:color="auto" w:frame="1"/>
          <w:lang w:eastAsia="es-ES"/>
        </w:rPr>
        <w:t>valor normal de mercado</w:t>
      </w:r>
      <w:r w:rsidRPr="00643843">
        <w:rPr>
          <w:rFonts w:ascii="Arial" w:eastAsia="Times New Roman" w:hAnsi="Arial" w:cs="Arial"/>
          <w:color w:val="222222"/>
          <w:sz w:val="20"/>
          <w:szCs w:val="20"/>
          <w:lang w:eastAsia="es-ES"/>
        </w:rPr>
        <w:t> y efectuará, en su caso, las correcciones valorativas que procedan respecto de las operaciones sujetas a este impuesto, al IRPF o al </w:t>
      </w:r>
      <w:hyperlink r:id="rId10" w:tgtFrame="_blank" w:history="1">
        <w:r w:rsidRPr="00643843">
          <w:rPr>
            <w:rFonts w:ascii="Arial" w:eastAsia="Times New Roman" w:hAnsi="Arial" w:cs="Arial"/>
            <w:b/>
            <w:bCs/>
            <w:color w:val="138D3E"/>
            <w:sz w:val="20"/>
            <w:szCs w:val="20"/>
            <w:bdr w:val="none" w:sz="0" w:space="0" w:color="auto" w:frame="1"/>
            <w:lang w:eastAsia="es-ES"/>
          </w:rPr>
          <w:t>impuesto sobre la renta de no residentes</w:t>
        </w:r>
      </w:hyperlink>
      <w:r w:rsidRPr="00643843">
        <w:rPr>
          <w:rFonts w:ascii="Arial" w:eastAsia="Times New Roman" w:hAnsi="Arial" w:cs="Arial"/>
          <w:color w:val="222222"/>
          <w:sz w:val="20"/>
          <w:szCs w:val="20"/>
          <w:lang w:eastAsia="es-ES"/>
        </w:rPr>
        <w:t> que no hubieran sido valoradas por su valor normal de mercado, con la documentación aportada por el sujeto pasivo y los datos e información de que disponga.</w:t>
      </w:r>
    </w:p>
    <w:p w14:paraId="0C60387C" w14:textId="77777777" w:rsidR="00643843" w:rsidRPr="00643843" w:rsidRDefault="00643843" w:rsidP="00643843">
      <w:pPr>
        <w:spacing w:after="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Las personas o entidades vinculadas </w:t>
      </w:r>
      <w:r w:rsidRPr="00643843">
        <w:rPr>
          <w:rFonts w:ascii="Arial" w:eastAsia="Times New Roman" w:hAnsi="Arial" w:cs="Arial"/>
          <w:b/>
          <w:bCs/>
          <w:color w:val="222222"/>
          <w:sz w:val="20"/>
          <w:szCs w:val="20"/>
          <w:bdr w:val="none" w:sz="0" w:space="0" w:color="auto" w:frame="1"/>
          <w:lang w:eastAsia="es-ES"/>
        </w:rPr>
        <w:t>deberán mantener a disposición de la Administración tributaria la documentación que se establezca reglamentariamente</w:t>
      </w:r>
      <w:r w:rsidRPr="00643843">
        <w:rPr>
          <w:rFonts w:ascii="Arial" w:eastAsia="Times New Roman" w:hAnsi="Arial" w:cs="Arial"/>
          <w:color w:val="222222"/>
          <w:sz w:val="20"/>
          <w:szCs w:val="20"/>
          <w:lang w:eastAsia="es-ES"/>
        </w:rPr>
        <w:t>, salvo las empresas en las que se cumpla que:</w:t>
      </w:r>
    </w:p>
    <w:p w14:paraId="6263B74D" w14:textId="77777777" w:rsidR="00643843" w:rsidRPr="00643843" w:rsidRDefault="00643843" w:rsidP="00643843">
      <w:pPr>
        <w:numPr>
          <w:ilvl w:val="0"/>
          <w:numId w:val="4"/>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El importe neto de la cifra de negocios en el período impositivo sea </w:t>
      </w:r>
      <w:r w:rsidRPr="00643843">
        <w:rPr>
          <w:rFonts w:ascii="Arial" w:eastAsia="Times New Roman" w:hAnsi="Arial" w:cs="Arial"/>
          <w:b/>
          <w:bCs/>
          <w:color w:val="555555"/>
          <w:sz w:val="20"/>
          <w:szCs w:val="20"/>
          <w:bdr w:val="none" w:sz="0" w:space="0" w:color="auto" w:frame="1"/>
          <w:lang w:eastAsia="es-ES"/>
        </w:rPr>
        <w:t>inferior a 10 millones de euros</w:t>
      </w:r>
      <w:r w:rsidRPr="00643843">
        <w:rPr>
          <w:rFonts w:ascii="Arial" w:eastAsia="Times New Roman" w:hAnsi="Arial" w:cs="Arial"/>
          <w:color w:val="555555"/>
          <w:sz w:val="20"/>
          <w:szCs w:val="20"/>
          <w:lang w:eastAsia="es-ES"/>
        </w:rPr>
        <w:t>.</w:t>
      </w:r>
    </w:p>
    <w:p w14:paraId="267BF608" w14:textId="77777777" w:rsidR="00643843" w:rsidRPr="00643843" w:rsidRDefault="00643843" w:rsidP="00643843">
      <w:pPr>
        <w:numPr>
          <w:ilvl w:val="0"/>
          <w:numId w:val="4"/>
        </w:numPr>
        <w:spacing w:after="0" w:line="360" w:lineRule="atLeast"/>
        <w:ind w:left="0"/>
        <w:jc w:val="both"/>
        <w:textAlignment w:val="baseline"/>
        <w:rPr>
          <w:rFonts w:ascii="Arial" w:eastAsia="Times New Roman" w:hAnsi="Arial" w:cs="Arial"/>
          <w:color w:val="555555"/>
          <w:sz w:val="20"/>
          <w:szCs w:val="20"/>
          <w:lang w:eastAsia="es-ES"/>
        </w:rPr>
      </w:pPr>
      <w:r w:rsidRPr="00643843">
        <w:rPr>
          <w:rFonts w:ascii="Arial" w:eastAsia="Times New Roman" w:hAnsi="Arial" w:cs="Arial"/>
          <w:color w:val="555555"/>
          <w:sz w:val="20"/>
          <w:szCs w:val="20"/>
          <w:lang w:eastAsia="es-ES"/>
        </w:rPr>
        <w:t>El importe total de las operaciones vinculadas realizadas por ellas en el ejercicio (incluidas las operaciones específicas) </w:t>
      </w:r>
      <w:r w:rsidRPr="00643843">
        <w:rPr>
          <w:rFonts w:ascii="Arial" w:eastAsia="Times New Roman" w:hAnsi="Arial" w:cs="Arial"/>
          <w:b/>
          <w:bCs/>
          <w:color w:val="555555"/>
          <w:sz w:val="20"/>
          <w:szCs w:val="20"/>
          <w:bdr w:val="none" w:sz="0" w:space="0" w:color="auto" w:frame="1"/>
          <w:lang w:eastAsia="es-ES"/>
        </w:rPr>
        <w:t>no supere 100.000 euros de valor de mercado</w:t>
      </w:r>
      <w:r w:rsidRPr="00643843">
        <w:rPr>
          <w:rFonts w:ascii="Arial" w:eastAsia="Times New Roman" w:hAnsi="Arial" w:cs="Arial"/>
          <w:color w:val="555555"/>
          <w:sz w:val="20"/>
          <w:szCs w:val="20"/>
          <w:lang w:eastAsia="es-ES"/>
        </w:rPr>
        <w:t>.</w:t>
      </w:r>
    </w:p>
    <w:p w14:paraId="7C9A5F21" w14:textId="77777777" w:rsidR="00643843" w:rsidRPr="00643843" w:rsidRDefault="00643843" w:rsidP="00643843">
      <w:pPr>
        <w:spacing w:before="240" w:after="240" w:line="360" w:lineRule="atLeast"/>
        <w:ind w:left="240" w:right="240"/>
        <w:jc w:val="both"/>
        <w:textAlignment w:val="baseline"/>
        <w:rPr>
          <w:rFonts w:ascii="Arial" w:eastAsia="Times New Roman" w:hAnsi="Arial" w:cs="Arial"/>
          <w:color w:val="222222"/>
          <w:sz w:val="20"/>
          <w:szCs w:val="20"/>
          <w:lang w:eastAsia="es-ES"/>
        </w:rPr>
      </w:pPr>
      <w:r w:rsidRPr="00643843">
        <w:rPr>
          <w:rFonts w:ascii="Arial" w:eastAsia="Times New Roman" w:hAnsi="Arial" w:cs="Arial"/>
          <w:color w:val="222222"/>
          <w:sz w:val="20"/>
          <w:szCs w:val="20"/>
          <w:lang w:eastAsia="es-ES"/>
        </w:rPr>
        <w:t>No obstante, la exoneración de la obligación de documentación no se aplica, en ningún caso, a las operaciones realizadas con personas o entidades vinculadas que residan en un paraíso fiscal, excepto que residan en un Estado miembro de la Unión Europea y el sujeto pasivo acredite que las operaciones responden a motivos económicos válidos y que esas personas o entidades realizan actividades económicas.</w:t>
      </w:r>
    </w:p>
    <w:p w14:paraId="4940671B" w14:textId="77777777" w:rsidR="00643843" w:rsidRPr="00643843" w:rsidRDefault="00E3620C" w:rsidP="00643843">
      <w:pPr>
        <w:spacing w:line="360" w:lineRule="atLeast"/>
        <w:ind w:left="240" w:right="240"/>
        <w:jc w:val="both"/>
        <w:textAlignment w:val="baseline"/>
        <w:rPr>
          <w:rFonts w:ascii="Arial" w:eastAsia="Times New Roman" w:hAnsi="Arial" w:cs="Arial"/>
          <w:color w:val="222222"/>
          <w:sz w:val="20"/>
          <w:szCs w:val="20"/>
          <w:lang w:eastAsia="es-ES"/>
        </w:rPr>
      </w:pPr>
      <w:hyperlink r:id="rId11" w:tgtFrame="_blank" w:history="1">
        <w:r w:rsidR="00643843" w:rsidRPr="00643843">
          <w:rPr>
            <w:rFonts w:ascii="Arial" w:eastAsia="Times New Roman" w:hAnsi="Arial" w:cs="Arial"/>
            <w:b/>
            <w:bCs/>
            <w:color w:val="138D3E"/>
            <w:sz w:val="20"/>
            <w:szCs w:val="20"/>
            <w:bdr w:val="none" w:sz="0" w:space="0" w:color="auto" w:frame="1"/>
            <w:lang w:eastAsia="es-ES"/>
          </w:rPr>
          <w:t xml:space="preserve">José Ramón Fernández de la </w:t>
        </w:r>
        <w:proofErr w:type="spellStart"/>
        <w:r w:rsidR="00643843" w:rsidRPr="00643843">
          <w:rPr>
            <w:rFonts w:ascii="Arial" w:eastAsia="Times New Roman" w:hAnsi="Arial" w:cs="Arial"/>
            <w:b/>
            <w:bCs/>
            <w:color w:val="138D3E"/>
            <w:sz w:val="20"/>
            <w:szCs w:val="20"/>
            <w:bdr w:val="none" w:sz="0" w:space="0" w:color="auto" w:frame="1"/>
            <w:lang w:eastAsia="es-ES"/>
          </w:rPr>
          <w:t>Cigoña</w:t>
        </w:r>
        <w:proofErr w:type="spellEnd"/>
        <w:r w:rsidR="00643843" w:rsidRPr="00643843">
          <w:rPr>
            <w:rFonts w:ascii="Arial" w:eastAsia="Times New Roman" w:hAnsi="Arial" w:cs="Arial"/>
            <w:b/>
            <w:bCs/>
            <w:color w:val="138D3E"/>
            <w:sz w:val="20"/>
            <w:szCs w:val="20"/>
            <w:bdr w:val="none" w:sz="0" w:space="0" w:color="auto" w:frame="1"/>
            <w:lang w:eastAsia="es-ES"/>
          </w:rPr>
          <w:t xml:space="preserve"> Fraga</w:t>
        </w:r>
      </w:hyperlink>
      <w:r w:rsidR="00643843" w:rsidRPr="00643843">
        <w:rPr>
          <w:rFonts w:ascii="Arial" w:eastAsia="Times New Roman" w:hAnsi="Arial" w:cs="Arial"/>
          <w:color w:val="222222"/>
          <w:sz w:val="20"/>
          <w:szCs w:val="20"/>
          <w:lang w:eastAsia="es-ES"/>
        </w:rPr>
        <w:br/>
        <w:t>Director Administrativo y Financiero (CFO)</w:t>
      </w:r>
    </w:p>
    <w:p w14:paraId="46C042DC" w14:textId="77777777" w:rsidR="00643843" w:rsidRDefault="00643843"/>
    <w:p w14:paraId="58D1D9C5" w14:textId="77777777" w:rsidR="00643843" w:rsidRDefault="00643843"/>
    <w:p w14:paraId="059C5155" w14:textId="77777777" w:rsidR="00643843" w:rsidRDefault="00643843"/>
    <w:p w14:paraId="58E8D988" w14:textId="77777777" w:rsidR="00643843" w:rsidRDefault="00643843"/>
    <w:p w14:paraId="77EE2453" w14:textId="77777777" w:rsidR="00643843" w:rsidRDefault="00643843"/>
    <w:p w14:paraId="05F46FE7" w14:textId="77777777" w:rsidR="00643843" w:rsidRDefault="00643843"/>
    <w:p w14:paraId="0D75AC31" w14:textId="77777777" w:rsidR="00643843" w:rsidRDefault="00643843">
      <w:r>
        <w:t>Articulo 18 literal.</w:t>
      </w:r>
    </w:p>
    <w:p w14:paraId="765B7AE9" w14:textId="77777777" w:rsidR="00643843" w:rsidRDefault="00643843" w:rsidP="00643843">
      <w:pPr>
        <w:pStyle w:val="Ttulo5"/>
        <w:spacing w:before="360" w:after="180"/>
        <w:rPr>
          <w:rFonts w:ascii="Verdana" w:hAnsi="Verdana"/>
          <w:color w:val="000000"/>
          <w:sz w:val="30"/>
          <w:szCs w:val="30"/>
        </w:rPr>
      </w:pPr>
      <w:bookmarkStart w:id="0" w:name="_Artículo_18._Operaciones"/>
      <w:bookmarkEnd w:id="0"/>
      <w:r>
        <w:rPr>
          <w:rFonts w:ascii="Verdana" w:hAnsi="Verdana"/>
          <w:color w:val="000000"/>
          <w:sz w:val="30"/>
          <w:szCs w:val="30"/>
        </w:rPr>
        <w:t>Artículo 18. Operaciones vinculadas.</w:t>
      </w:r>
    </w:p>
    <w:p w14:paraId="2E8735CE"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1. Las operaciones efectuadas entre personas o entidades vinculadas se valorarán por su valor de mercado. Se entenderá por valor de mercado aquel que se habría acordado por personas o entidades independientes en condiciones que respeten el principio de libre competencia.</w:t>
      </w:r>
    </w:p>
    <w:p w14:paraId="1427EEBD"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2. Se considerarán personas o entidades vinculadas las siguientes:</w:t>
      </w:r>
    </w:p>
    <w:p w14:paraId="5AFE8666"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Una entidad y sus socios o partícipes.</w:t>
      </w:r>
    </w:p>
    <w:p w14:paraId="7176EAAB"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b) Una entidad y sus consejeros o administradores, salvo en lo correspondiente a la retribución por el ejercicio de sus funciones.</w:t>
      </w:r>
    </w:p>
    <w:p w14:paraId="7A15865F"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c) Una entidad y los cónyuges o personas unidas por relaciones de parentesco, en línea directa o colateral, por consanguinidad o afinidad hasta el tercer grado de los socios o partícipes, consejeros o administradores.</w:t>
      </w:r>
    </w:p>
    <w:p w14:paraId="26D0EC37"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d) Dos entidades que pertenezcan a un grupo.</w:t>
      </w:r>
    </w:p>
    <w:p w14:paraId="3802BDA4"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 Una entidad y los consejeros o administradores de otra entidad, cuando ambas entidades pertenezcan a un grupo.</w:t>
      </w:r>
    </w:p>
    <w:p w14:paraId="5C32173D"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f) Una entidad y otra entidad participada por la primera indirectamente en, al menos, el 25 por ciento del capital social o de los fondos propios.</w:t>
      </w:r>
    </w:p>
    <w:p w14:paraId="08B27720"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g) Dos entidades en las cuales los mismos socios, partícipes o sus cónyuges, o personas unidas por relaciones de parentesco, en línea directa o colateral, por consanguinidad o afinidad hasta el tercer grado, </w:t>
      </w:r>
      <w:r>
        <w:rPr>
          <w:rFonts w:ascii="Verdana" w:hAnsi="Verdana"/>
          <w:color w:val="000000"/>
          <w:sz w:val="30"/>
          <w:szCs w:val="30"/>
        </w:rPr>
        <w:lastRenderedPageBreak/>
        <w:t>participen, directa o indirectamente en, al menos, el 25 por ciento del capital social o los fondos propios.</w:t>
      </w:r>
    </w:p>
    <w:p w14:paraId="4190B2AF"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h) Una entidad residente en territorio español y sus establecimientos permanentes en el extranjero.</w:t>
      </w:r>
    </w:p>
    <w:p w14:paraId="6723B5EB"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En los supuestos en los que la vinculación se defina en función de la relación de los socios o partícipes con la entidad, la participación deberá ser igual o superior al 25 por ciento. La mención a los administradores incluirá a los de derecho y a los de hecho.</w:t>
      </w:r>
    </w:p>
    <w:p w14:paraId="6006EA1C"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Existe grupo cuando una entidad ostente o pueda ostentar el control de otra u otras según los criterios establecidos en el artículo 42 del Código de Comercio, con independencia de su residencia y de la obligación de formular cuentas anuales consolidadas.</w:t>
      </w:r>
    </w:p>
    <w:p w14:paraId="04502A0A"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3. Las personas o entidades vinculadas, con objeto de justificar que las operaciones efectuadas se han valorado por su valor de mercado, deberán mantener a disposición de la Administración tributaria, de acuerdo con principios de proporcionalidad y suficiencia, la documentación específica que se establezca reglamentariamente.</w:t>
      </w:r>
    </w:p>
    <w:p w14:paraId="12696A66"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Dicha documentación tendrá un contenido simplificado en relación con las personas o entidades vinculadas cuyo importe neto de la cifra de negocios, definido en los términos establecidos en el artículo 101 de esta Ley, sea inferior a 45 millones de euros.</w:t>
      </w:r>
    </w:p>
    <w:p w14:paraId="71237756"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En ningún caso, el contenido simplificado de la documentación resultará de aplicación a las siguientes operaciones:</w:t>
      </w:r>
    </w:p>
    <w:p w14:paraId="78A6057E"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1.º Las realizadas por contribuyentes del Impuesto sobre la Renta de las Personas Físicas, en el desarrollo de una actividad económica, a la que resulte de aplicación el método de estimación objetiva con </w:t>
      </w:r>
      <w:r>
        <w:rPr>
          <w:rFonts w:ascii="Verdana" w:hAnsi="Verdana"/>
          <w:color w:val="000000"/>
          <w:sz w:val="30"/>
          <w:szCs w:val="30"/>
        </w:rPr>
        <w:lastRenderedPageBreak/>
        <w:t>entidades en las que aquellos o sus cónyuges, ascendientes o descendientes, de forma individual o conjuntamente entre todos ellos, tengan un porcentaje igual o superior al 25 por ciento del capital social o de los fondos propios.</w:t>
      </w:r>
    </w:p>
    <w:p w14:paraId="142D984E"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2.º Las operaciones de transmisión de negocios.</w:t>
      </w:r>
    </w:p>
    <w:p w14:paraId="3438A09C"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3.º Las operaciones de transmisión de valores o participaciones representativos de la participación en los fondos propios de cualquier tipo de entidades no admitidas a negociación en alguno de los mercados regulados de valores, o que estén admitidos a negociación en mercados regulados situados en países o territorios calificados como paraísos fiscales.</w:t>
      </w:r>
    </w:p>
    <w:p w14:paraId="7B7643F4"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4.º Las operaciones sobre inmuebles.</w:t>
      </w:r>
    </w:p>
    <w:p w14:paraId="0319EC31"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5.º Las operaciones sobre activos intangibles.</w:t>
      </w:r>
    </w:p>
    <w:p w14:paraId="1486D3B8"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La documentación específica no será exigible:</w:t>
      </w:r>
    </w:p>
    <w:p w14:paraId="1374EB01"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A las operaciones realizadas entre entidades que se integren en un mismo grupo de consolidación fiscal, sin perjuicio de lo previsto en el artículo 65.2 de esta Ley.</w:t>
      </w:r>
    </w:p>
    <w:p w14:paraId="07682F7A"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b) A las operaciones realizadas con sus miembros o con otras entidades integrantes del mismo grupo de consolidación fiscal por las agrupaciones de interés económico, de acuerdo con lo previsto en la Ley 12/1991, de 29 de abril, de Agrupaciones de interés Económico, y las uniones temporales de empresas, reguladas en la Ley 18/1982, de 26 de mayo, sobre régimen fiscal de agrupaciones y uniones temporales de Empresas y de Sociedades de desarrollo industrial regional, e inscritas en el registro especial del Ministerio de Hacienda y Administraciones Públicas. No obstante, la documentación específica será exigible en el caso de uniones temporales de empresas o fórmulas de colaboración análogas a las uniones temporales, que se </w:t>
      </w:r>
      <w:r>
        <w:rPr>
          <w:rFonts w:ascii="Verdana" w:hAnsi="Verdana"/>
          <w:color w:val="000000"/>
          <w:sz w:val="30"/>
          <w:szCs w:val="30"/>
        </w:rPr>
        <w:lastRenderedPageBreak/>
        <w:t>acojan al régimen establecido en el artículo 22 de esta Ley.</w:t>
      </w:r>
    </w:p>
    <w:p w14:paraId="42F211F1"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c) Las operaciones realizadas en el ámbito de ofertas públicas de venta o de ofertas públicas de adquisición de valores.</w:t>
      </w:r>
    </w:p>
    <w:p w14:paraId="5BA73459"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d) A las operaciones realizadas con la misma persona o entidad vinculada, siempre que el importe de la contraprestación del conjunto de operaciones no supere los 250.000 euros, de acuerdo con el valor de mercado.</w:t>
      </w:r>
    </w:p>
    <w:p w14:paraId="38902674"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4. Para la determinación del valor de mercado se aplicará cualquiera de los siguientes métodos:</w:t>
      </w:r>
    </w:p>
    <w:p w14:paraId="0D200E1B"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Método del precio libre comparable, por el que se compara el precio del bien o servicio en una operación entre personas o entidades vinculadas con el precio de un bien o servicio idéntico o de características similares en una operación entre personas o entidades independientes en circunstancias equiparables, efectuando, si fuera preciso, las correcciones necesarias para obtener la equivalencia y considerar las particularidades de la operación.</w:t>
      </w:r>
    </w:p>
    <w:p w14:paraId="21C9CCBF"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b) Método del coste incrementado, por el que se añade al valor de adquisición o coste de producción del bien o servicio el margen habitual en operaciones idénticas o similares con personas o entidades independientes o, en su defecto, el margen que personas o entidades independientes aplican a operaciones equiparables, efectuando, si fuera preciso, las correcciones necesarias para obtener la equivalencia y considerar las particularidades de la operación.</w:t>
      </w:r>
    </w:p>
    <w:p w14:paraId="55C071EF"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c) Método del precio de reventa, por el que se sustrae del precio de venta de un bien o servicio el margen que aplica el propio revendedor en operaciones idénticas o similares con personas o entidades independientes o, en su defecto, el margen que personas o entidades </w:t>
      </w:r>
      <w:r>
        <w:rPr>
          <w:rFonts w:ascii="Verdana" w:hAnsi="Verdana"/>
          <w:color w:val="000000"/>
          <w:sz w:val="30"/>
          <w:szCs w:val="30"/>
        </w:rPr>
        <w:lastRenderedPageBreak/>
        <w:t>independientes aplican a operaciones equiparables, efectuando, si fuera preciso, las correcciones necesarias para obtener la equivalencia y considerar las particularidades de la operación.</w:t>
      </w:r>
    </w:p>
    <w:p w14:paraId="52DFC0A7"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d) Método de la distribución del resultado, por el que se asigna a cada persona o entidad vinculada que realice de forma conjunta una o varias operaciones la parte del resultado común derivado de dicha operación u operaciones, en función de un criterio que refleje adecuadamente las condiciones que habrían suscrito personas o entidades independientes en circunstancias similares.</w:t>
      </w:r>
    </w:p>
    <w:p w14:paraId="6CEEB6E8"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 Método del margen neto operacional, por el que se atribuye a las operaciones realizadas con una persona o entidad vinculada el resultado neto, calculado sobre costes, ventas o la magnitud que resulte más adecuada en función de las características de las operaciones idénticas o similares realizadas entre partes independientes, efectuando, cuando sea preciso, las correcciones necesarias para obtener la equivalencia y considerar las particularidades de las operaciones.</w:t>
      </w:r>
    </w:p>
    <w:p w14:paraId="1CEBE63C"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La elección del método de valoración tendrá en cuenta, entre otras circunstancias, la naturaleza de la operación vinculada, la disponibilidad de información fiable y el grado de comparabilidad entre las operaciones vinculadas y no vinculadas.</w:t>
      </w:r>
    </w:p>
    <w:p w14:paraId="20EC3A54"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Cuando no resulte posible aplicar los métodos anteriores, se podrán utilizar otros métodos y técnicas de valoración generalmente aceptados que respeten el principio de libre competencia.</w:t>
      </w:r>
    </w:p>
    <w:p w14:paraId="21867AA4"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5. En el supuesto de prestaciones de servicios entre personas o entidades vinculadas, valorados de acuerdo con lo establecido en el apartado 4, se requerirá que los servicios prestados produzcan o puedan producir una ventaja o utilidad a su destinatario.</w:t>
      </w:r>
    </w:p>
    <w:p w14:paraId="3F1B9C0D"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lastRenderedPageBreak/>
        <w:t>Cuando se trate de servicios prestados conjuntamente en favor de varias personas o entidades vinculadas, y siempre que no fuera posible la individualización del servicio recibido o la cuantificación de los elementos determinantes de su remuneración, será posible distribuir la contraprestación total entre las personas o entidades beneficiarias de acuerdo con unas reglas de reparto que atiendan a criterios de racionalidad. Se entenderá cumplido este criterio cuando el método aplicado tenga en cuenta, además de la naturaleza del servicio y las circunstancias en que éste se preste, los beneficios obtenidos o susceptibles de ser obtenidos por las personas o entidades destinatarias.</w:t>
      </w:r>
    </w:p>
    <w:p w14:paraId="213E7A96"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6. A los efectos de lo previsto en el apartado 4 anterior, el contribuyente podrá considerar que el valor convenido coincide con el valor de mercado en el caso de una prestación de servicios por un socio profesional, persona física, a una entidad vinculada y se cumplan los siguientes requisitos:</w:t>
      </w:r>
    </w:p>
    <w:p w14:paraId="74F19A7D"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Que más del 75 por ciento de los ingresos de la entidad procedan del ejercicio de actividades profesionales y cuente con los medios materiales y humanos adecuados para el desarrollo de la actividad.</w:t>
      </w:r>
    </w:p>
    <w:p w14:paraId="73C0B0FB"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b) Que la cuantía de las retribuciones correspondientes a la totalidad de los socios-profesionales por la prestación de servicios a la entidad no sea inferior al 75 por ciento del resultado previo a la deducción de las retribuciones correspondientes a la totalidad de los socios-profesionales por la prestación de sus servicios.</w:t>
      </w:r>
    </w:p>
    <w:p w14:paraId="42528BE3"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c) Que la cuantía de las retribuciones correspondientes a cada uno de los socios-profesionales cumplan los siguientes requisitos:</w:t>
      </w:r>
    </w:p>
    <w:p w14:paraId="73CD634C"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lastRenderedPageBreak/>
        <w:t>1.º Se determine en función de la contribución efectuada por estos a la buena marcha de la entidad, siendo necesario que consten por escrito los criterios cualitativos y/o cuantitativos aplicables.</w:t>
      </w:r>
    </w:p>
    <w:p w14:paraId="296740AA"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2.º No sea inferior a 1,5 veces el salario medio de los asalariados de la entidad que cumplan funciones análogas a las de los socios profesionales de la entidad. En ausencia de estos últimos, la cuantía de las citadas retribuciones no podrá ser inferior a 5 veces el Indicador Público de Renta de Efectos Múltiples.</w:t>
      </w:r>
    </w:p>
    <w:p w14:paraId="79287C84"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El incumplimiento del requisito establecido en este número 2.º en relación con alguno de los socios-profesionales, no impedirá la aplicación de lo previsto en este apartado a los restantes socios-profesionales.</w:t>
      </w:r>
    </w:p>
    <w:p w14:paraId="213DCE17"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7. En el supuesto de acuerdos de reparto de costes de bienes o servicios suscritos entre personas o entidades vinculadas, deberán cumplirse los siguientes requisitos:</w:t>
      </w:r>
    </w:p>
    <w:p w14:paraId="5B17FED4"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Las personas o entidades participantes que suscriban el acuerdo deberán acceder a la propiedad u otro derecho que tenga similares consecuencias económicas sobre los activos o derechos que en su caso sean objeto de adquisición, producción o desarrollo como resultado del acuerdo.</w:t>
      </w:r>
    </w:p>
    <w:p w14:paraId="4297E6E1"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b) La aportación de cada persona o entidad participante deberá tener en cuenta la previsión de utilidades o ventajas que cada uno de ellos espere obtener del acuerdo en atención a criterios de racionalidad.</w:t>
      </w:r>
    </w:p>
    <w:p w14:paraId="588113BD"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c) El acuerdo deberá contemplar la variación de sus circunstancias o personas o entidades participantes, estableciendo los pagos compensatorios y ajustes que se estimen necesarios.</w:t>
      </w:r>
    </w:p>
    <w:p w14:paraId="6ADF16DE"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lastRenderedPageBreak/>
        <w:t>El acuerdo suscrito entre personas o entidades vinculadas deberá cumplir los requisitos que reglamentariamente se fijen.</w:t>
      </w:r>
    </w:p>
    <w:p w14:paraId="0B7D415B"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8. En el caso de contribuyentes que posean un establecimiento permanente en el extranjero, en aquellos supuestos en que así esté establecido en un convenio para evitar la doble imposición internacional que les resulte de aplicación, se incluirán en la base imponible de aquellos las rentas estimadas por operaciones internas realizadas con el establecimiento permanente, valoradas por su valor de mercado.</w:t>
      </w:r>
    </w:p>
    <w:p w14:paraId="5F40F987"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9. Los contribuyentes podrán solicitar a la Administración tributaria que determine la valoración de las operaciones efectuadas entre personas o entidades vinculadas con carácter previo a la realización de éstas. Dicha solicitud se acompañará de una propuesta que se fundamentará en el principio de libre competencia.</w:t>
      </w:r>
    </w:p>
    <w:p w14:paraId="5AB19618"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La Administración tributaria podrá formalizar acuerdos con otras Administraciones a los efectos de determinar conjuntamente el valor de mercado de las operaciones.</w:t>
      </w:r>
    </w:p>
    <w:p w14:paraId="69D7FFB1"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El acuerdo de valoración surtirá efectos respecto de las operaciones realizadas con posterioridad a la fecha en que se apruebe, y tendrá validez durante los períodos impositivos que se concreten en el propio acuerdo, sin que pueda exceder de los 4 períodos impositivos siguientes al de la fecha en que se apruebe. Asimismo, podrá determinarse que sus efectos alcancen a las operaciones de períodos impositivos anteriores siempre que no hubiese prescrito el derecho de la Administración a determinar la deuda tributaria mediante la oportuna liquidación ni hubiese liquidación firme que recaiga sobre las operaciones objeto de solicitud.</w:t>
      </w:r>
    </w:p>
    <w:p w14:paraId="1E791580"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En el supuesto de variación significativa de las circunstancias económicas existentes en el momento de la aprobación del acuerdo de la Administración tributaria, </w:t>
      </w:r>
      <w:r>
        <w:rPr>
          <w:rFonts w:ascii="Verdana" w:hAnsi="Verdana"/>
          <w:color w:val="000000"/>
          <w:sz w:val="30"/>
          <w:szCs w:val="30"/>
        </w:rPr>
        <w:lastRenderedPageBreak/>
        <w:t>éste podrá ser modificado para adecuarlo a las nuevas circunstancias económicas.</w:t>
      </w:r>
    </w:p>
    <w:p w14:paraId="263A8E11"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Las propuestas a que se refiere este apartado podrán entenderse desestimadas una vez transcurrido el plazo de resolución.</w:t>
      </w:r>
    </w:p>
    <w:p w14:paraId="2F68EF5A"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Reglamentariamente se fijará el procedimiento para la resolución de los acuerdos de valoración de operaciones vinculadas, así como el de sus posibles prórrogas.</w:t>
      </w:r>
    </w:p>
    <w:p w14:paraId="67B32CFB"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10. La Administración tributaria podrá comprobar las operaciones realizadas entre personas o entidades vinculadas y efectuará, en su caso, las correcciones que procedan en los términos que se hubieran acordado entre partes independientes de acuerdo con el principio de libre competencia, respecto de las operaciones sujetas a este Impuesto, al Impuesto sobre la Renta de las Personas Físicas o al Impuesto sobre la Renta de no Residentes, con la documentación aportada por el contribuyente y los datos e información de que disponga. La Administración tributaria quedará vinculada por dicha corrección en relación con el resto de personas o entidades vinculadas.</w:t>
      </w:r>
    </w:p>
    <w:p w14:paraId="5FD1787E"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La corrección practicada no determinará la tributación por este Impuesto ni, en su caso, por el Impuesto sobre la Renta de las Personas Físicas o por el Impuesto sobre la Renta de no Residentes de una renta superior a la efectivamente derivada de la operación para el conjunto de las personas o entidades que la hubieran realizado. Para efectuar la comparación se tendrá en cuenta aquella parte de la renta que no se integre en la base imponible por resultar de aplicación algún método de estimación objetiva.</w:t>
      </w:r>
    </w:p>
    <w:p w14:paraId="0208556A"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11. En aquellas operaciones en las que se determine que el valor convenido es distinto del valor de mercado, la diferencia entre ambos valores tendrá, para las personas o entidades vinculadas, el tratamiento fiscal </w:t>
      </w:r>
      <w:r>
        <w:rPr>
          <w:rFonts w:ascii="Verdana" w:hAnsi="Verdana"/>
          <w:color w:val="000000"/>
          <w:sz w:val="30"/>
          <w:szCs w:val="30"/>
        </w:rPr>
        <w:lastRenderedPageBreak/>
        <w:t>que corresponda a la naturaleza de las rentas puestas de manifiesto como consecuencia de la existencia de dicha diferencia.</w:t>
      </w:r>
    </w:p>
    <w:p w14:paraId="14C17C9B"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En particular, en los supuestos en los que la vinculación se defina en función de la relación socios o partícipes-entidad, la diferencia tendrá, con carácter general, el siguiente tratamiento:</w:t>
      </w:r>
    </w:p>
    <w:p w14:paraId="5DD60985"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Cuando la diferencia fuese a favor del socio o partícipe, la parte de la misma que se corresponda con el porcentaje de participación en la entidad se considerará como retribución de fondos propios para la entidad y como participación en beneficios para el socio. La parte de la diferencia que no se corresponda con aquel porcentaje, tendrá para la entidad la consideración de retribución de fondos propios y para el socio o partícipe de utilidad percibida de una entidad por la condición de socio, accionista, asociado o partícipe de acuerdo con lo previsto en el artículo 25.1.d) de la Ley 35/2006, de 28 de noviembre, del Impuesto sobre la Renta de las Personas Físicas y de modificación parcial de las leyes de los Impuestos sobre Sociedades, sobre la Renta de no Residentes y sobre el Patrimonio.</w:t>
      </w:r>
    </w:p>
    <w:p w14:paraId="77382188"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b) Cuando la diferencia fuese a favor de la entidad, la parte de la diferencia que se corresponda con el porcentaje de participación en la misma tendrá la consideración de aportación del socio o partícipe a los fondos propios de la entidad, y aumentará el valor de adquisición de la participación del socio o partícipe. La parte de la diferencia que no se corresponda con el porcentaje de participación en la entidad, tendrá la consideración de renta para la entidad, y de liberalidad para el socio o partícipe. Cuando se trate de contribuyentes del Impuesto sobre la Renta de no Residentes sin establecimiento permanente, la renta se considerará como ganancia patrimonial de acuerdo con lo previsto en el artículo 13.1.i</w:t>
      </w:r>
      <w:proofErr w:type="gramStart"/>
      <w:r>
        <w:rPr>
          <w:rFonts w:ascii="Verdana" w:hAnsi="Verdana"/>
          <w:color w:val="000000"/>
          <w:sz w:val="30"/>
          <w:szCs w:val="30"/>
        </w:rPr>
        <w:t>).4.º</w:t>
      </w:r>
      <w:proofErr w:type="gramEnd"/>
      <w:r>
        <w:rPr>
          <w:rFonts w:ascii="Verdana" w:hAnsi="Verdana"/>
          <w:color w:val="000000"/>
          <w:sz w:val="30"/>
          <w:szCs w:val="30"/>
        </w:rPr>
        <w:t xml:space="preserve"> del texto refundido </w:t>
      </w:r>
      <w:r>
        <w:rPr>
          <w:rFonts w:ascii="Verdana" w:hAnsi="Verdana"/>
          <w:color w:val="000000"/>
          <w:sz w:val="30"/>
          <w:szCs w:val="30"/>
        </w:rPr>
        <w:lastRenderedPageBreak/>
        <w:t>de la Ley del Impuesto sobre la Renta de no Residentes, aprobado por el Real Decreto Legislativo 5/2004, de 5 de marzo.</w:t>
      </w:r>
    </w:p>
    <w:p w14:paraId="3F6B6607"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No se aplicará lo dispuesto en este apartado cuando se proceda a la restitución patrimonial entre las personas o entidades vinculadas en los términos que reglamentariamente se establezcan. Esta restitución no determinará la existencia de renta en las partes afectadas.</w:t>
      </w:r>
    </w:p>
    <w:p w14:paraId="1635EBB1"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12. Reglamentariamente se regulará la comprobación de las operaciones vinculadas, con arreglo a las siguientes normas:</w:t>
      </w:r>
    </w:p>
    <w:p w14:paraId="2D9FB447"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1.º La comprobación de las operaciones vinculadas se llevará a cabo en el seno del procedimiento iniciado respecto del obligado tributario cuya situación tributaria sea objeto de comprobación. Sin perjuicio de lo dispuesto en el siguiente párrafo, estas actuaciones se entenderán exclusivamente con dicho obligado tributario.</w:t>
      </w:r>
    </w:p>
    <w:p w14:paraId="62D3CC80"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2.º Si contra la liquidación provisional practicada a dicho obligado tributario como consecuencia de la comprobación, éste interpusiera el correspondiente recurso o reclamación, se notificará dicha circunstancia a las demás personas o entidades vinculadas afectadas, al objeto de que puedan personarse en el correspondiente procedimiento y presentar las oportunas alegaciones.</w:t>
      </w:r>
    </w:p>
    <w:p w14:paraId="725939FE"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Transcurridos los plazos oportunos sin que el obligado tributario haya interpuesto recurso o reclamación, se notificará la liquidación practicada a las demás personas o entidades vinculadas afectadas, para que aquellos que lo deseen puedan optar de forma conjunta por interponer el oportuno recurso o reclamación. La interposición de recurso o reclamación interrumpirá el plazo de </w:t>
      </w:r>
      <w:r>
        <w:rPr>
          <w:rFonts w:ascii="Verdana" w:hAnsi="Verdana"/>
          <w:color w:val="000000"/>
          <w:sz w:val="30"/>
          <w:szCs w:val="30"/>
        </w:rPr>
        <w:lastRenderedPageBreak/>
        <w:t>prescripción del derecho de la Administración tributaria a efectuar las oportunas liquidaciones al obligado tributario y a las demás personas o entidades afectadas, a quienes se comunicará dicha interrupción, iniciándose de nuevo el cómputo de dicho plazo cuando la liquidación practicada por la Administración haya adquirido firmeza.</w:t>
      </w:r>
    </w:p>
    <w:p w14:paraId="6412A9E6"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3.º La firmeza de la liquidación determinará su eficacia y firmeza frente a las demás personas o entidades vinculadas. La Administración tributaria efectuará las regularizaciones que correspondan, salvo que dichas regularizaciones se hayan efectuado por la propia persona o entidad vinculada afectada, en los términos que reglamentariamente se establezcan.</w:t>
      </w:r>
    </w:p>
    <w:p w14:paraId="3B0CDAA9"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4.º Lo dispuesto en este apartado será aplicable respecto de las personas o entidades vinculadas afectadas por la corrección que sean contribuyentes del Impuesto sobre Sociedades, del Impuesto sobre la Renta de las Personas Físicas o del Impuesto sobre la Renta de no Residentes.</w:t>
      </w:r>
    </w:p>
    <w:p w14:paraId="772D53C4"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5.º Lo dispuesto en este apartado se entenderá sin perjuicio de lo previsto en los tratados y convenios internacionales que hayan pasado a formar parte del ordenamiento interno.</w:t>
      </w:r>
    </w:p>
    <w:p w14:paraId="20F38642"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6.º Cuando en el seno de la comprobación a que se refiere este apartado se efectuase la comprobación del valor de la operación, no resultará de aplicación lo dispuesto en el apartado 2 del artículo 57 y en el artículo 135 de la Ley 58/2003, de 17 de diciembre, General Tributaria.</w:t>
      </w:r>
    </w:p>
    <w:p w14:paraId="397255CA"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13. 1.º Constituye infracción tributaria la falta de aportación o la aportación de forma incompleta, o con datos falsos, de la documentación que, conforme a lo previsto en el apartado 3 de este artículo y en su normativa de desarrollo, deban mantener a disposición de la Administración tributaria las personas o entidades </w:t>
      </w:r>
      <w:r>
        <w:rPr>
          <w:rFonts w:ascii="Verdana" w:hAnsi="Verdana"/>
          <w:color w:val="000000"/>
          <w:sz w:val="30"/>
          <w:szCs w:val="30"/>
        </w:rPr>
        <w:lastRenderedPageBreak/>
        <w:t>vinculadas, cuando la Administración tributaria no realice correcciones en aplicación de lo dispuesto en este artículo.</w:t>
      </w:r>
    </w:p>
    <w:p w14:paraId="7251E89E"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Esta infracción tendrá la consideración de infracción grave y se sancionará de acuerdo con las siguientes normas:</w:t>
      </w:r>
    </w:p>
    <w:p w14:paraId="4B55E51E"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a) La sanción consistirá en multa pecuniaria fija de 1.000 euros por cada dato y 10.000 euros por conjunto de datos, omitido, o falso, referidos a cada una de las obligaciones de documentación que se establezcan reglamentariamente para el grupo o para cada persona o entidad en su condición de contribuyente.</w:t>
      </w:r>
    </w:p>
    <w:p w14:paraId="39438325"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b) La sanción prevista en la letra anterior tendrá como límite máximo la menor de las dos cuantías siguientes:</w:t>
      </w:r>
    </w:p>
    <w:p w14:paraId="6E0AF4B6"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 El 10 por ciento del importe conjunto de las operaciones sujetas a este Impuesto, al Impuesto sobre la Renta de las Personas Físicas o al Impuesto sobre la Renta de no Residentes realizadas en el período impositivo.</w:t>
      </w:r>
    </w:p>
    <w:p w14:paraId="355AD4E4"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El 1 por ciento del importe neto de la cifra de negocios.</w:t>
      </w:r>
    </w:p>
    <w:p w14:paraId="78A60285"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2.º Constituyen infracción tributaria los siguientes supuestos, siempre que conlleven la realización de correcciones por la Administración tributaria, en aplicación de lo dispuesto en este artículo respecto de las operaciones sujetas a este Impuesto, al Impuesto sobre la Renta de las Personas Físicas o al Impuesto sobre la Renta de no Residentes:</w:t>
      </w:r>
    </w:p>
    <w:p w14:paraId="13BBA467"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(i) la falta de aportación o la aportación de documentación incompleta, o con datos falsos de la documentación que, conforme a lo previsto en el apartado 3 de este artículo y en su normativa de </w:t>
      </w:r>
      <w:r>
        <w:rPr>
          <w:rFonts w:ascii="Verdana" w:hAnsi="Verdana"/>
          <w:color w:val="000000"/>
          <w:sz w:val="30"/>
          <w:szCs w:val="30"/>
        </w:rPr>
        <w:lastRenderedPageBreak/>
        <w:t>desarrollo, deban mantener a disposición de la Administración tributaria las personas o entidades vinculadas.</w:t>
      </w:r>
    </w:p>
    <w:p w14:paraId="209EAF1A"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w:t>
      </w:r>
      <w:proofErr w:type="spellStart"/>
      <w:r>
        <w:rPr>
          <w:rFonts w:ascii="Verdana" w:hAnsi="Verdana"/>
          <w:color w:val="000000"/>
          <w:sz w:val="30"/>
          <w:szCs w:val="30"/>
        </w:rPr>
        <w:t>ii</w:t>
      </w:r>
      <w:proofErr w:type="spellEnd"/>
      <w:r>
        <w:rPr>
          <w:rFonts w:ascii="Verdana" w:hAnsi="Verdana"/>
          <w:color w:val="000000"/>
          <w:sz w:val="30"/>
          <w:szCs w:val="30"/>
        </w:rPr>
        <w:t>) que el valor de mercado que se derive de la documentación prevista en este artículo y en su normativa de desarrollo no sea el declarado en el Impuesto sobre Sociedades, el Impuesto sobre la Renta de las Personas Físicas o el Impuesto sobre la Renta de no Residentes.</w:t>
      </w:r>
    </w:p>
    <w:p w14:paraId="02B04E51"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Estas infracciones tendrán la consideración de infracción grave y se sancionarán con multa pecuniaria proporcional del 15 por ciento sobre el importe de las cantidades que resulten de las correcciones que correspondan a cada operación. Esta sanción será incompatible con la que proceda, en su caso, por la aplicación de los artículos 191, 192, 193 o 195 de la Ley General Tributaria, por la parte de bases que hubiesen dado lugar a la imposición de la infracción prevista en este número 2.º</w:t>
      </w:r>
    </w:p>
    <w:p w14:paraId="40B9330C"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 xml:space="preserve">3.º Las correcciones realizadas por la Administración tributaria en aplicación de lo dispuesto en este artículo respecto de operaciones sujetas a este Impuesto, al Impuesto sobre la Renta de las Personas Físicas o al Impuesto sobre la Renta de no Residentes, que determinen falta de ingreso, obtención indebida de devoluciones tributarias o determinación o acreditación improcedente de partidas a compensar en declaraciones futuras o se declare incorrectamente la renta neta sin que produzca falta de ingreso u obtención de devoluciones por haberse compensado en un procedimiento de comprobación o investigación cantidades pendientes de compensación, habiéndose cumplido la obligación de documentación específica a que se refiere el apartado 3 de este artículo, no constituirá la comisión de las infracciones de los artículos 191, 192, 193 o 195 de la Ley 58/2003, de 17 de </w:t>
      </w:r>
      <w:r>
        <w:rPr>
          <w:rFonts w:ascii="Verdana" w:hAnsi="Verdana"/>
          <w:color w:val="000000"/>
          <w:sz w:val="30"/>
          <w:szCs w:val="30"/>
        </w:rPr>
        <w:lastRenderedPageBreak/>
        <w:t>diciembre, General Tributaria, por la parte de bases que hubiesen dado lugar a la referidas correcciones.</w:t>
      </w:r>
    </w:p>
    <w:p w14:paraId="1BE820FD"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4.º Las sanciones previstas en este apartado serán compatibles con la establecida para la resistencia, obstrucción, excusa o negativa a las actuaciones de la Administración tributaria en el artículo 203 de la Ley General Tributaria, por la desatención de los requerimientos realizados.</w:t>
      </w:r>
    </w:p>
    <w:p w14:paraId="33465B49" w14:textId="77777777" w:rsidR="00643843" w:rsidRDefault="00643843" w:rsidP="00643843">
      <w:pPr>
        <w:pStyle w:val="parrafo"/>
        <w:spacing w:before="180" w:beforeAutospacing="0" w:after="180" w:afterAutospacing="0"/>
        <w:ind w:firstLine="360"/>
        <w:jc w:val="both"/>
        <w:rPr>
          <w:rFonts w:ascii="Verdana" w:hAnsi="Verdana"/>
          <w:color w:val="000000"/>
          <w:sz w:val="30"/>
          <w:szCs w:val="30"/>
        </w:rPr>
      </w:pPr>
      <w:r>
        <w:rPr>
          <w:rFonts w:ascii="Verdana" w:hAnsi="Verdana"/>
          <w:color w:val="000000"/>
          <w:sz w:val="30"/>
          <w:szCs w:val="30"/>
        </w:rPr>
        <w:t>Respecto de las sanciones impuestas conforme a lo dispuesto en este artículo resultará de aplicación lo establecido en los apartados 1.b) y 3 del artículo 188 de la Ley General Tributaria.</w:t>
      </w:r>
    </w:p>
    <w:p w14:paraId="2D28BD0A" w14:textId="77777777" w:rsidR="00643843" w:rsidRDefault="00643843" w:rsidP="00643843">
      <w:pPr>
        <w:pStyle w:val="parrafo2"/>
        <w:spacing w:before="360" w:beforeAutospacing="0" w:after="180" w:afterAutospacing="0"/>
        <w:ind w:firstLine="360"/>
        <w:jc w:val="both"/>
        <w:rPr>
          <w:rFonts w:ascii="Verdana" w:hAnsi="Verdana"/>
          <w:color w:val="000000"/>
          <w:sz w:val="30"/>
          <w:szCs w:val="30"/>
        </w:rPr>
      </w:pPr>
      <w:r>
        <w:rPr>
          <w:rFonts w:ascii="Verdana" w:hAnsi="Verdana"/>
          <w:color w:val="000000"/>
          <w:sz w:val="30"/>
          <w:szCs w:val="30"/>
        </w:rPr>
        <w:t>14. El valor de mercado a efectos de este Impuesto, del Impuesto sobre la Renta de las Personas Físicas o del Impuesto sobre la Renta de no Residentes, no producirá efectos respecto a otros impuestos, salvo disposición expresa en contrario. Asimismo, el valor a efectos de otros impuestos no producirá efectos respecto del valor de mercado de las operaciones entre personas o entidades vinculadas de este impuesto, del Impuesto sobre la Renta de las Personas Físicas o del Impuesto sobre la Renta de no Residentes, salvo disposición expresa en contrario.</w:t>
      </w:r>
    </w:p>
    <w:p w14:paraId="0EE8E0FB" w14:textId="77777777" w:rsidR="00643843" w:rsidRDefault="00643843" w:rsidP="00643843">
      <w:pPr>
        <w:pStyle w:val="notapie"/>
        <w:shd w:val="clear" w:color="auto" w:fill="FFFFDF"/>
        <w:spacing w:before="0" w:beforeAutospacing="0" w:after="0" w:afterAutospacing="0"/>
        <w:ind w:left="240"/>
        <w:jc w:val="both"/>
        <w:rPr>
          <w:rFonts w:ascii="Verdana" w:hAnsi="Verdana"/>
          <w:color w:val="000000"/>
          <w:sz w:val="27"/>
          <w:szCs w:val="27"/>
        </w:rPr>
      </w:pPr>
      <w:r>
        <w:rPr>
          <w:rFonts w:ascii="Verdana" w:hAnsi="Verdana"/>
          <w:color w:val="000000"/>
          <w:sz w:val="27"/>
          <w:szCs w:val="27"/>
        </w:rPr>
        <w:t>Se deroga la letra 2.f) y se reordenan las siguientes, con efectos para los períodos impositivos iniciados a partir de 1 de enero de 2015, por la disposición final 6.1 de la Ley 34/2015, de 21 de septiembre. </w:t>
      </w:r>
      <w:hyperlink r:id="rId12" w:anchor="dfsexta" w:tgtFrame="_blank" w:history="1">
        <w:r>
          <w:rPr>
            <w:rStyle w:val="Hipervnculo"/>
            <w:rFonts w:ascii="Verdana" w:hAnsi="Verdana"/>
            <w:sz w:val="27"/>
            <w:szCs w:val="27"/>
          </w:rPr>
          <w:t>Ref. BOE-A-2015-10143</w:t>
        </w:r>
      </w:hyperlink>
      <w:r>
        <w:rPr>
          <w:rFonts w:ascii="Verdana" w:hAnsi="Verdana"/>
          <w:color w:val="000000"/>
          <w:sz w:val="27"/>
          <w:szCs w:val="27"/>
        </w:rPr>
        <w:t>.</w:t>
      </w:r>
    </w:p>
    <w:p w14:paraId="170BC771" w14:textId="77777777" w:rsidR="00643843" w:rsidRDefault="00643843" w:rsidP="00643843">
      <w:pPr>
        <w:pStyle w:val="z-Principiodelformulario"/>
      </w:pPr>
      <w:r>
        <w:t>Principio del formulario</w:t>
      </w:r>
    </w:p>
    <w:p w14:paraId="39EEEDC1" w14:textId="77777777" w:rsidR="00643843" w:rsidRDefault="00643843" w:rsidP="00643843">
      <w:pPr>
        <w:spacing w:before="360"/>
        <w:rPr>
          <w:rFonts w:ascii="Verdana" w:hAnsi="Verdana"/>
          <w:color w:val="912600"/>
          <w:sz w:val="26"/>
          <w:szCs w:val="26"/>
        </w:rPr>
      </w:pPr>
      <w:r>
        <w:rPr>
          <w:rFonts w:ascii="Verdana" w:hAnsi="Verdana"/>
          <w:color w:val="912600"/>
          <w:sz w:val="26"/>
          <w:szCs w:val="26"/>
        </w:rPr>
        <w:t>Seleccionar redacción:</w:t>
      </w:r>
    </w:p>
    <w:p w14:paraId="1E23C554" w14:textId="77777777" w:rsidR="00643843" w:rsidRDefault="00643843" w:rsidP="00643843">
      <w:pPr>
        <w:pStyle w:val="NormalWeb"/>
        <w:spacing w:before="180" w:beforeAutospacing="0" w:after="180" w:afterAutospacing="0"/>
        <w:rPr>
          <w:rFonts w:ascii="Verdana" w:hAnsi="Verdana"/>
          <w:color w:val="912600"/>
          <w:sz w:val="26"/>
          <w:szCs w:val="26"/>
        </w:rPr>
      </w:pPr>
      <w:r>
        <w:rPr>
          <w:rFonts w:ascii="Verdana" w:hAnsi="Verdana"/>
          <w:color w:val="912600"/>
          <w:sz w:val="26"/>
          <w:szCs w:val="26"/>
        </w:rPr>
        <w:object w:dxaOrig="225" w:dyaOrig="225" w14:anchorId="69DBE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3" o:title=""/>
          </v:shape>
          <w:control r:id="rId14" w:name="DefaultOcxName" w:shapeid="_x0000_i1030"/>
        </w:object>
      </w:r>
      <w:r>
        <w:rPr>
          <w:rStyle w:val="Textoennegrita"/>
          <w:rFonts w:ascii="Verdana" w:hAnsi="Verdana"/>
          <w:color w:val="912600"/>
          <w:sz w:val="26"/>
          <w:szCs w:val="26"/>
        </w:rPr>
        <w:t>Última actualización, publicada el 22/09/2015, en vigor a partir del 12/10/2015.</w:t>
      </w:r>
    </w:p>
    <w:p w14:paraId="5D55F48A" w14:textId="77777777" w:rsidR="00643843" w:rsidRDefault="00643843" w:rsidP="00643843">
      <w:pPr>
        <w:pStyle w:val="NormalWeb"/>
        <w:spacing w:before="180" w:beforeAutospacing="0" w:after="180" w:afterAutospacing="0"/>
        <w:rPr>
          <w:rFonts w:ascii="Verdana" w:hAnsi="Verdana"/>
          <w:color w:val="912600"/>
          <w:sz w:val="26"/>
          <w:szCs w:val="26"/>
        </w:rPr>
      </w:pPr>
      <w:r>
        <w:rPr>
          <w:rFonts w:ascii="Verdana" w:hAnsi="Verdana"/>
          <w:color w:val="912600"/>
          <w:sz w:val="26"/>
          <w:szCs w:val="26"/>
        </w:rPr>
        <w:object w:dxaOrig="225" w:dyaOrig="225" w14:anchorId="344270D1">
          <v:shape id="_x0000_i1033" type="#_x0000_t75" style="width:20.25pt;height:18pt" o:ole="">
            <v:imagedata r:id="rId15" o:title=""/>
          </v:shape>
          <w:control r:id="rId16" w:name="DefaultOcxName1" w:shapeid="_x0000_i1033"/>
        </w:object>
      </w:r>
    </w:p>
    <w:p w14:paraId="459347D8" w14:textId="77777777" w:rsidR="00643843" w:rsidRDefault="00643843" w:rsidP="00643843">
      <w:pPr>
        <w:pStyle w:val="z-Finaldelformulario"/>
      </w:pPr>
      <w:r>
        <w:t>Final del formulario</w:t>
      </w:r>
    </w:p>
    <w:p w14:paraId="3E381105" w14:textId="77777777" w:rsidR="00643843" w:rsidRDefault="00643843"/>
    <w:p w14:paraId="07F1C7B5" w14:textId="77777777" w:rsidR="00643843" w:rsidRDefault="00643843"/>
    <w:p w14:paraId="61872AE4" w14:textId="77777777" w:rsidR="00643843" w:rsidRDefault="00643843"/>
    <w:p w14:paraId="19855941" w14:textId="77777777" w:rsidR="00643843" w:rsidRDefault="00643843"/>
    <w:sectPr w:rsidR="006438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0A4"/>
    <w:multiLevelType w:val="multilevel"/>
    <w:tmpl w:val="4F387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86A36"/>
    <w:multiLevelType w:val="multilevel"/>
    <w:tmpl w:val="E7D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F7935"/>
    <w:multiLevelType w:val="multilevel"/>
    <w:tmpl w:val="4DD4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420B70"/>
    <w:multiLevelType w:val="multilevel"/>
    <w:tmpl w:val="F5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164890">
    <w:abstractNumId w:val="1"/>
  </w:num>
  <w:num w:numId="2" w16cid:durableId="1142238094">
    <w:abstractNumId w:val="0"/>
  </w:num>
  <w:num w:numId="3" w16cid:durableId="1791632843">
    <w:abstractNumId w:val="2"/>
  </w:num>
  <w:num w:numId="4" w16cid:durableId="949699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43"/>
    <w:rsid w:val="00643843"/>
    <w:rsid w:val="00E362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5D4371"/>
  <w15:chartTrackingRefBased/>
  <w15:docId w15:val="{6588C1EF-D4C3-4FC2-9DCB-FB19FA5D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438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4384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semiHidden/>
    <w:unhideWhenUsed/>
    <w:qFormat/>
    <w:rsid w:val="006438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384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43843"/>
    <w:rPr>
      <w:rFonts w:ascii="Times New Roman" w:eastAsia="Times New Roman" w:hAnsi="Times New Roman" w:cs="Times New Roman"/>
      <w:b/>
      <w:bCs/>
      <w:sz w:val="36"/>
      <w:szCs w:val="36"/>
      <w:lang w:eastAsia="es-ES"/>
    </w:rPr>
  </w:style>
  <w:style w:type="character" w:customStyle="1" w:styleId="submitted">
    <w:name w:val="submitted"/>
    <w:basedOn w:val="Fuentedeprrafopredeter"/>
    <w:rsid w:val="00643843"/>
  </w:style>
  <w:style w:type="character" w:customStyle="1" w:styleId="username">
    <w:name w:val="username"/>
    <w:basedOn w:val="Fuentedeprrafopredeter"/>
    <w:rsid w:val="00643843"/>
  </w:style>
  <w:style w:type="paragraph" w:styleId="NormalWeb">
    <w:name w:val="Normal (Web)"/>
    <w:basedOn w:val="Normal"/>
    <w:uiPriority w:val="99"/>
    <w:semiHidden/>
    <w:unhideWhenUsed/>
    <w:rsid w:val="006438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43843"/>
    <w:rPr>
      <w:b/>
      <w:bCs/>
    </w:rPr>
  </w:style>
  <w:style w:type="character" w:styleId="Hipervnculo">
    <w:name w:val="Hyperlink"/>
    <w:basedOn w:val="Fuentedeprrafopredeter"/>
    <w:uiPriority w:val="99"/>
    <w:unhideWhenUsed/>
    <w:rsid w:val="00643843"/>
    <w:rPr>
      <w:color w:val="0000FF"/>
      <w:u w:val="single"/>
    </w:rPr>
  </w:style>
  <w:style w:type="character" w:styleId="nfasis">
    <w:name w:val="Emphasis"/>
    <w:basedOn w:val="Fuentedeprrafopredeter"/>
    <w:uiPriority w:val="20"/>
    <w:qFormat/>
    <w:rsid w:val="00643843"/>
    <w:rPr>
      <w:i/>
      <w:iCs/>
    </w:rPr>
  </w:style>
  <w:style w:type="character" w:customStyle="1" w:styleId="Ttulo5Car">
    <w:name w:val="Título 5 Car"/>
    <w:basedOn w:val="Fuentedeprrafopredeter"/>
    <w:link w:val="Ttulo5"/>
    <w:uiPriority w:val="9"/>
    <w:semiHidden/>
    <w:rsid w:val="00643843"/>
    <w:rPr>
      <w:rFonts w:asciiTheme="majorHAnsi" w:eastAsiaTheme="majorEastAsia" w:hAnsiTheme="majorHAnsi" w:cstheme="majorBidi"/>
      <w:color w:val="2F5496" w:themeColor="accent1" w:themeShade="BF"/>
    </w:rPr>
  </w:style>
  <w:style w:type="paragraph" w:customStyle="1" w:styleId="parrafo">
    <w:name w:val="parrafo"/>
    <w:basedOn w:val="Normal"/>
    <w:rsid w:val="006438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6438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apie">
    <w:name w:val="nota_pie"/>
    <w:basedOn w:val="Normal"/>
    <w:rsid w:val="0064384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64384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4384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4384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43843"/>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E3620C"/>
    <w:rPr>
      <w:color w:val="605E5C"/>
      <w:shd w:val="clear" w:color="auto" w:fill="E1DFDD"/>
    </w:rPr>
  </w:style>
  <w:style w:type="character" w:styleId="Hipervnculovisitado">
    <w:name w:val="FollowedHyperlink"/>
    <w:basedOn w:val="Fuentedeprrafopredeter"/>
    <w:uiPriority w:val="99"/>
    <w:semiHidden/>
    <w:unhideWhenUsed/>
    <w:rsid w:val="00E36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2705">
      <w:bodyDiv w:val="1"/>
      <w:marLeft w:val="0"/>
      <w:marRight w:val="0"/>
      <w:marTop w:val="0"/>
      <w:marBottom w:val="0"/>
      <w:divBdr>
        <w:top w:val="none" w:sz="0" w:space="0" w:color="auto"/>
        <w:left w:val="none" w:sz="0" w:space="0" w:color="auto"/>
        <w:bottom w:val="none" w:sz="0" w:space="0" w:color="auto"/>
        <w:right w:val="none" w:sz="0" w:space="0" w:color="auto"/>
      </w:divBdr>
      <w:divsChild>
        <w:div w:id="183590597">
          <w:blockQuote w:val="1"/>
          <w:marLeft w:val="0"/>
          <w:marRight w:val="0"/>
          <w:marTop w:val="240"/>
          <w:marBottom w:val="240"/>
          <w:divBdr>
            <w:top w:val="single" w:sz="6" w:space="12" w:color="DDDDDD"/>
            <w:left w:val="single" w:sz="6" w:space="24" w:color="DDDDDD"/>
            <w:bottom w:val="single" w:sz="6" w:space="18" w:color="DDDDDD"/>
            <w:right w:val="single" w:sz="6" w:space="24" w:color="DDDDDD"/>
          </w:divBdr>
        </w:div>
      </w:divsChild>
    </w:div>
    <w:div w:id="1668249186">
      <w:bodyDiv w:val="1"/>
      <w:marLeft w:val="0"/>
      <w:marRight w:val="0"/>
      <w:marTop w:val="0"/>
      <w:marBottom w:val="0"/>
      <w:divBdr>
        <w:top w:val="none" w:sz="0" w:space="0" w:color="auto"/>
        <w:left w:val="none" w:sz="0" w:space="0" w:color="auto"/>
        <w:bottom w:val="none" w:sz="0" w:space="0" w:color="auto"/>
        <w:right w:val="none" w:sz="0" w:space="0" w:color="auto"/>
      </w:divBdr>
      <w:divsChild>
        <w:div w:id="823401470">
          <w:marLeft w:val="0"/>
          <w:marRight w:val="0"/>
          <w:marTop w:val="0"/>
          <w:marBottom w:val="0"/>
          <w:divBdr>
            <w:top w:val="none" w:sz="0" w:space="0" w:color="auto"/>
            <w:left w:val="none" w:sz="0" w:space="0" w:color="auto"/>
            <w:bottom w:val="none" w:sz="0" w:space="0" w:color="auto"/>
            <w:right w:val="none" w:sz="0" w:space="0" w:color="auto"/>
          </w:divBdr>
          <w:divsChild>
            <w:div w:id="1981685026">
              <w:marLeft w:val="0"/>
              <w:marRight w:val="0"/>
              <w:marTop w:val="0"/>
              <w:marBottom w:val="360"/>
              <w:divBdr>
                <w:top w:val="none" w:sz="0" w:space="0" w:color="auto"/>
                <w:left w:val="none" w:sz="0" w:space="0" w:color="auto"/>
                <w:bottom w:val="none" w:sz="0" w:space="0" w:color="auto"/>
                <w:right w:val="none" w:sz="0" w:space="0" w:color="auto"/>
              </w:divBdr>
              <w:divsChild>
                <w:div w:id="1478955736">
                  <w:marLeft w:val="0"/>
                  <w:marRight w:val="0"/>
                  <w:marTop w:val="0"/>
                  <w:marBottom w:val="0"/>
                  <w:divBdr>
                    <w:top w:val="none" w:sz="0" w:space="0" w:color="auto"/>
                    <w:left w:val="none" w:sz="0" w:space="0" w:color="auto"/>
                    <w:bottom w:val="none" w:sz="0" w:space="0" w:color="auto"/>
                    <w:right w:val="none" w:sz="0" w:space="0" w:color="auto"/>
                  </w:divBdr>
                  <w:divsChild>
                    <w:div w:id="1760132871">
                      <w:marLeft w:val="0"/>
                      <w:marRight w:val="0"/>
                      <w:marTop w:val="0"/>
                      <w:marBottom w:val="0"/>
                      <w:divBdr>
                        <w:top w:val="none" w:sz="0" w:space="0" w:color="auto"/>
                        <w:left w:val="none" w:sz="0" w:space="0" w:color="auto"/>
                        <w:bottom w:val="none" w:sz="0" w:space="0" w:color="auto"/>
                        <w:right w:val="none" w:sz="0" w:space="0" w:color="auto"/>
                      </w:divBdr>
                      <w:divsChild>
                        <w:div w:id="1155144271">
                          <w:marLeft w:val="0"/>
                          <w:marRight w:val="0"/>
                          <w:marTop w:val="0"/>
                          <w:marBottom w:val="0"/>
                          <w:divBdr>
                            <w:top w:val="none" w:sz="0" w:space="0" w:color="auto"/>
                            <w:left w:val="none" w:sz="0" w:space="0" w:color="auto"/>
                            <w:bottom w:val="none" w:sz="0" w:space="0" w:color="auto"/>
                            <w:right w:val="none" w:sz="0" w:space="0" w:color="auto"/>
                          </w:divBdr>
                          <w:divsChild>
                            <w:div w:id="488719190">
                              <w:marLeft w:val="0"/>
                              <w:marRight w:val="0"/>
                              <w:marTop w:val="0"/>
                              <w:marBottom w:val="0"/>
                              <w:divBdr>
                                <w:top w:val="none" w:sz="0" w:space="0" w:color="auto"/>
                                <w:left w:val="none" w:sz="0" w:space="0" w:color="auto"/>
                                <w:bottom w:val="none" w:sz="0" w:space="0" w:color="auto"/>
                                <w:right w:val="none" w:sz="0" w:space="0" w:color="auto"/>
                              </w:divBdr>
                              <w:divsChild>
                                <w:div w:id="1626811359">
                                  <w:marLeft w:val="0"/>
                                  <w:marRight w:val="0"/>
                                  <w:marTop w:val="0"/>
                                  <w:marBottom w:val="0"/>
                                  <w:divBdr>
                                    <w:top w:val="none" w:sz="0" w:space="0" w:color="auto"/>
                                    <w:left w:val="none" w:sz="0" w:space="0" w:color="auto"/>
                                    <w:bottom w:val="none" w:sz="0" w:space="0" w:color="auto"/>
                                    <w:right w:val="none" w:sz="0" w:space="0" w:color="auto"/>
                                  </w:divBdr>
                                  <w:divsChild>
                                    <w:div w:id="1456365586">
                                      <w:marLeft w:val="288"/>
                                      <w:marRight w:val="120"/>
                                      <w:marTop w:val="0"/>
                                      <w:marBottom w:val="120"/>
                                      <w:divBdr>
                                        <w:top w:val="single" w:sz="6" w:space="4" w:color="DBF0E5"/>
                                        <w:left w:val="single" w:sz="6" w:space="4" w:color="DBF0E5"/>
                                        <w:bottom w:val="single" w:sz="6" w:space="4" w:color="DBF0E5"/>
                                        <w:right w:val="single" w:sz="6" w:space="4" w:color="DBF0E5"/>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bilidad.tk/3-razones-administrador-empresa-debe-tener-conocimientos-contabilidad.html"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scal-impuestos.com/impuesto-sociedades-2015-plazo-tipos-gravamen-necesitas-saber.html" TargetMode="External"/><Relationship Id="rId12" Type="http://schemas.openxmlformats.org/officeDocument/2006/relationships/hyperlink" Target="https://www.boe.es/buscar/act.php?id=BOE-A-2015-101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hyperlink" Target="http://www.fiscal-impuestos.com/ley-27-2014-consolidacion-fiscal-alternativa-tributacion-obligaciones-responsabilidades-novedades.html" TargetMode="External"/><Relationship Id="rId11" Type="http://schemas.openxmlformats.org/officeDocument/2006/relationships/hyperlink" Target="https://es.linkedin.com/in/josefcfraga" TargetMode="External"/><Relationship Id="rId5" Type="http://schemas.openxmlformats.org/officeDocument/2006/relationships/image" Target="media/image1.jpeg"/><Relationship Id="rId15" Type="http://schemas.openxmlformats.org/officeDocument/2006/relationships/image" Target="media/image3.wmf"/><Relationship Id="rId10" Type="http://schemas.openxmlformats.org/officeDocument/2006/relationships/hyperlink" Target="http://www.fiscal-impuestos.com/asesoramiento-fiscal-conoce-todo-relativo-impuesto-renta-no-residentes-real-decreto-legislativo-5-2004.html?web_origen=post_fiscalimpuestos_cigona_13811" TargetMode="External"/><Relationship Id="rId4" Type="http://schemas.openxmlformats.org/officeDocument/2006/relationships/webSettings" Target="webSettings.xml"/><Relationship Id="rId9" Type="http://schemas.openxmlformats.org/officeDocument/2006/relationships/hyperlink" Target="http://www.cef.es/seminario-metodos-valoracion-documentacion-operaciones-vinculadas.html?web_origen=post_fiscalimpuestos_cigona_13811"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4868</Words>
  <Characters>26777</Characters>
  <Application>Microsoft Office Word</Application>
  <DocSecurity>0</DocSecurity>
  <Lines>223</Lines>
  <Paragraphs>63</Paragraphs>
  <ScaleCrop>false</ScaleCrop>
  <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MIGUEL ANGEL ATIENZA GALVEZ</cp:lastModifiedBy>
  <cp:revision>2</cp:revision>
  <dcterms:created xsi:type="dcterms:W3CDTF">2020-09-09T09:41:00Z</dcterms:created>
  <dcterms:modified xsi:type="dcterms:W3CDTF">2023-06-26T08:54:00Z</dcterms:modified>
</cp:coreProperties>
</file>